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EBF9" w14:textId="2B676A13" w:rsidR="007C7EB9" w:rsidRPr="003131ED" w:rsidRDefault="00FB7926" w:rsidP="00D0468C">
      <w:pPr>
        <w:spacing w:line="360" w:lineRule="auto"/>
        <w:jc w:val="both"/>
        <w:rPr>
          <w:rFonts w:eastAsia="Arial"/>
          <w:b/>
        </w:rPr>
      </w:pPr>
      <w:r w:rsidRPr="003131ED">
        <w:rPr>
          <w:rFonts w:eastAsia="Arial"/>
          <w:b/>
        </w:rPr>
        <w:t>H63D variant of the h</w:t>
      </w:r>
      <w:r w:rsidR="00D14557" w:rsidRPr="003131ED">
        <w:rPr>
          <w:rFonts w:eastAsia="Arial"/>
          <w:b/>
        </w:rPr>
        <w:t>omeostatic iron r</w:t>
      </w:r>
      <w:r w:rsidR="007C7EB9" w:rsidRPr="003131ED">
        <w:rPr>
          <w:rFonts w:eastAsia="Arial"/>
          <w:b/>
        </w:rPr>
        <w:t>egulator</w:t>
      </w:r>
      <w:r w:rsidR="0080789B" w:rsidRPr="003131ED">
        <w:rPr>
          <w:rFonts w:eastAsia="Arial"/>
          <w:b/>
        </w:rPr>
        <w:t xml:space="preserve"> </w:t>
      </w:r>
      <w:r w:rsidR="00D21119" w:rsidRPr="003131ED">
        <w:rPr>
          <w:rFonts w:eastAsia="Arial"/>
          <w:b/>
        </w:rPr>
        <w:t>(</w:t>
      </w:r>
      <w:r w:rsidR="007C7EB9" w:rsidRPr="003131ED">
        <w:rPr>
          <w:rFonts w:eastAsia="Arial"/>
          <w:b/>
          <w:i/>
        </w:rPr>
        <w:t>HFE</w:t>
      </w:r>
      <w:r w:rsidR="00D21119" w:rsidRPr="003131ED">
        <w:rPr>
          <w:rFonts w:eastAsia="Arial"/>
          <w:b/>
          <w:i/>
        </w:rPr>
        <w:t>)</w:t>
      </w:r>
      <w:r w:rsidR="007C7EB9" w:rsidRPr="003131ED">
        <w:rPr>
          <w:rFonts w:eastAsia="Arial"/>
          <w:b/>
        </w:rPr>
        <w:t xml:space="preserve"> </w:t>
      </w:r>
      <w:r w:rsidR="00CF70DD" w:rsidRPr="003131ED">
        <w:rPr>
          <w:rFonts w:eastAsia="Arial"/>
          <w:b/>
        </w:rPr>
        <w:t>gen</w:t>
      </w:r>
      <w:r w:rsidRPr="003131ED">
        <w:rPr>
          <w:rFonts w:eastAsia="Arial"/>
          <w:b/>
        </w:rPr>
        <w:t>e</w:t>
      </w:r>
      <w:r w:rsidR="00CF70DD" w:rsidRPr="003131ED">
        <w:rPr>
          <w:rFonts w:eastAsia="Arial"/>
          <w:b/>
        </w:rPr>
        <w:t xml:space="preserve"> </w:t>
      </w:r>
      <w:r w:rsidR="007C7EB9" w:rsidRPr="003131ED">
        <w:rPr>
          <w:rFonts w:eastAsia="Arial"/>
          <w:b/>
        </w:rPr>
        <w:t xml:space="preserve">alters </w:t>
      </w:r>
      <w:r w:rsidR="007C7EB9" w:rsidRPr="003131ED">
        <w:rPr>
          <w:rFonts w:eastAsia="Arial"/>
          <w:b/>
        </w:rPr>
        <w:sym w:font="Symbol" w:char="F061"/>
      </w:r>
      <w:r w:rsidR="007C7EB9" w:rsidRPr="003131ED">
        <w:rPr>
          <w:rFonts w:eastAsia="Arial"/>
          <w:b/>
        </w:rPr>
        <w:t xml:space="preserve">-synuclein </w:t>
      </w:r>
      <w:r w:rsidR="00421BA1" w:rsidRPr="003131ED">
        <w:rPr>
          <w:rFonts w:eastAsia="Arial"/>
          <w:b/>
        </w:rPr>
        <w:t>expression, aggregation, and toxicity</w:t>
      </w:r>
    </w:p>
    <w:p w14:paraId="5D3A791A" w14:textId="77777777" w:rsidR="00E67C81" w:rsidRPr="003131ED" w:rsidRDefault="00E67C81" w:rsidP="00D0468C">
      <w:pPr>
        <w:spacing w:line="360" w:lineRule="auto"/>
        <w:jc w:val="both"/>
        <w:rPr>
          <w:b/>
          <w:sz w:val="26"/>
          <w:szCs w:val="26"/>
        </w:rPr>
      </w:pPr>
    </w:p>
    <w:p w14:paraId="616C4E58" w14:textId="294BCBD8" w:rsidR="00721E53" w:rsidRPr="003131ED" w:rsidRDefault="007C7EB9" w:rsidP="00D0468C">
      <w:pPr>
        <w:spacing w:line="360" w:lineRule="auto"/>
        <w:jc w:val="both"/>
        <w:rPr>
          <w:sz w:val="22"/>
          <w:szCs w:val="22"/>
        </w:rPr>
      </w:pPr>
      <w:r w:rsidRPr="003131ED">
        <w:rPr>
          <w:sz w:val="22"/>
          <w:szCs w:val="22"/>
        </w:rPr>
        <w:t>Yunsung Kim</w:t>
      </w:r>
      <w:r w:rsidRPr="003131ED">
        <w:rPr>
          <w:sz w:val="22"/>
          <w:szCs w:val="22"/>
          <w:vertAlign w:val="superscript"/>
        </w:rPr>
        <w:t>1</w:t>
      </w:r>
      <w:r w:rsidRPr="003131ED">
        <w:rPr>
          <w:sz w:val="22"/>
          <w:szCs w:val="22"/>
        </w:rPr>
        <w:t>, Mark C. Stahl</w:t>
      </w:r>
      <w:r w:rsidRPr="003131ED">
        <w:rPr>
          <w:sz w:val="22"/>
          <w:szCs w:val="22"/>
          <w:vertAlign w:val="superscript"/>
        </w:rPr>
        <w:t>1</w:t>
      </w:r>
      <w:r w:rsidR="0080789B" w:rsidRPr="003131ED">
        <w:rPr>
          <w:sz w:val="22"/>
          <w:szCs w:val="22"/>
          <w:vertAlign w:val="superscript"/>
        </w:rPr>
        <w:t>,</w:t>
      </w:r>
      <w:r w:rsidR="00B9550D" w:rsidRPr="003131ED">
        <w:rPr>
          <w:sz w:val="22"/>
          <w:szCs w:val="22"/>
          <w:vertAlign w:val="superscript"/>
        </w:rPr>
        <w:t xml:space="preserve"> #</w:t>
      </w:r>
      <w:r w:rsidRPr="003131ED">
        <w:rPr>
          <w:sz w:val="22"/>
          <w:szCs w:val="22"/>
        </w:rPr>
        <w:t xml:space="preserve">, </w:t>
      </w:r>
      <w:r w:rsidR="00655FF7" w:rsidRPr="003131ED">
        <w:rPr>
          <w:sz w:val="22"/>
          <w:szCs w:val="22"/>
        </w:rPr>
        <w:t>Xuemei Huang</w:t>
      </w:r>
      <w:r w:rsidR="00655FF7" w:rsidRPr="003131ED">
        <w:rPr>
          <w:sz w:val="22"/>
          <w:szCs w:val="22"/>
          <w:vertAlign w:val="superscript"/>
        </w:rPr>
        <w:t>1</w:t>
      </w:r>
      <w:r w:rsidR="0024080A" w:rsidRPr="003131ED">
        <w:rPr>
          <w:sz w:val="22"/>
          <w:szCs w:val="22"/>
          <w:vertAlign w:val="superscript"/>
        </w:rPr>
        <w:t>,2,3</w:t>
      </w:r>
      <w:r w:rsidR="00655FF7" w:rsidRPr="003131ED">
        <w:rPr>
          <w:sz w:val="22"/>
          <w:szCs w:val="22"/>
        </w:rPr>
        <w:t xml:space="preserve">, </w:t>
      </w:r>
      <w:r w:rsidRPr="003131ED">
        <w:rPr>
          <w:sz w:val="22"/>
          <w:szCs w:val="22"/>
        </w:rPr>
        <w:t>James R. Connor</w:t>
      </w:r>
      <w:r w:rsidRPr="003131ED">
        <w:rPr>
          <w:sz w:val="22"/>
          <w:szCs w:val="22"/>
          <w:vertAlign w:val="superscript"/>
        </w:rPr>
        <w:t>2</w:t>
      </w:r>
      <w:r w:rsidR="0080789B" w:rsidRPr="003131ED">
        <w:rPr>
          <w:sz w:val="22"/>
          <w:szCs w:val="22"/>
          <w:vertAlign w:val="superscript"/>
        </w:rPr>
        <w:t>,</w:t>
      </w:r>
      <w:r w:rsidR="00B9550D" w:rsidRPr="003131ED">
        <w:rPr>
          <w:sz w:val="22"/>
          <w:szCs w:val="22"/>
          <w:vertAlign w:val="superscript"/>
        </w:rPr>
        <w:t xml:space="preserve"> </w:t>
      </w:r>
      <w:r w:rsidR="0024080A" w:rsidRPr="003131ED">
        <w:rPr>
          <w:sz w:val="22"/>
          <w:szCs w:val="22"/>
          <w:vertAlign w:val="superscript"/>
        </w:rPr>
        <w:t xml:space="preserve">3, </w:t>
      </w:r>
      <w:r w:rsidR="00B9550D" w:rsidRPr="003131ED">
        <w:rPr>
          <w:sz w:val="22"/>
          <w:szCs w:val="22"/>
          <w:vertAlign w:val="superscript"/>
        </w:rPr>
        <w:t>*</w:t>
      </w:r>
    </w:p>
    <w:p w14:paraId="38C2F4D8" w14:textId="77777777" w:rsidR="009977F7" w:rsidRPr="003131ED" w:rsidRDefault="009977F7" w:rsidP="00D0468C">
      <w:pPr>
        <w:spacing w:line="360" w:lineRule="auto"/>
        <w:jc w:val="both"/>
        <w:rPr>
          <w:sz w:val="22"/>
          <w:szCs w:val="22"/>
          <w:vertAlign w:val="superscript"/>
        </w:rPr>
      </w:pPr>
    </w:p>
    <w:p w14:paraId="3999B133" w14:textId="03C4EB14" w:rsidR="0080789B" w:rsidRPr="003131ED" w:rsidRDefault="0080789B" w:rsidP="00D0468C">
      <w:pPr>
        <w:spacing w:line="360" w:lineRule="auto"/>
        <w:jc w:val="both"/>
        <w:rPr>
          <w:sz w:val="22"/>
          <w:szCs w:val="22"/>
        </w:rPr>
      </w:pPr>
      <w:r w:rsidRPr="003131ED">
        <w:rPr>
          <w:sz w:val="22"/>
          <w:szCs w:val="22"/>
          <w:vertAlign w:val="superscript"/>
        </w:rPr>
        <w:t>1</w:t>
      </w:r>
      <w:r w:rsidRPr="003131ED">
        <w:rPr>
          <w:sz w:val="22"/>
          <w:szCs w:val="22"/>
        </w:rPr>
        <w:t>Department of Neurology, Penn State College of Medicine, Hershey, PA</w:t>
      </w:r>
      <w:r w:rsidR="0024080A" w:rsidRPr="003131ED">
        <w:rPr>
          <w:sz w:val="22"/>
          <w:szCs w:val="22"/>
        </w:rPr>
        <w:t>,</w:t>
      </w:r>
      <w:r w:rsidRPr="003131ED">
        <w:rPr>
          <w:sz w:val="22"/>
          <w:szCs w:val="22"/>
        </w:rPr>
        <w:t xml:space="preserve"> USA</w:t>
      </w:r>
    </w:p>
    <w:p w14:paraId="7B849298" w14:textId="347B1078" w:rsidR="0080789B" w:rsidRPr="003131ED" w:rsidRDefault="0080789B" w:rsidP="00D0468C">
      <w:pPr>
        <w:spacing w:line="360" w:lineRule="auto"/>
        <w:jc w:val="both"/>
        <w:rPr>
          <w:sz w:val="22"/>
          <w:szCs w:val="22"/>
        </w:rPr>
      </w:pPr>
      <w:r w:rsidRPr="003131ED">
        <w:rPr>
          <w:sz w:val="22"/>
          <w:szCs w:val="22"/>
          <w:vertAlign w:val="superscript"/>
        </w:rPr>
        <w:t>2</w:t>
      </w:r>
      <w:r w:rsidRPr="003131ED">
        <w:rPr>
          <w:sz w:val="22"/>
          <w:szCs w:val="22"/>
        </w:rPr>
        <w:t>Department of Neurosurgery, Penn State College of Medicine, Hershey, PA</w:t>
      </w:r>
      <w:r w:rsidR="0024080A" w:rsidRPr="003131ED">
        <w:rPr>
          <w:sz w:val="22"/>
          <w:szCs w:val="22"/>
        </w:rPr>
        <w:t>,</w:t>
      </w:r>
      <w:r w:rsidRPr="003131ED">
        <w:rPr>
          <w:sz w:val="22"/>
          <w:szCs w:val="22"/>
        </w:rPr>
        <w:t xml:space="preserve"> USA</w:t>
      </w:r>
    </w:p>
    <w:p w14:paraId="03280B32" w14:textId="703399E4" w:rsidR="0024080A" w:rsidRPr="003131ED" w:rsidRDefault="0024080A" w:rsidP="00D0468C">
      <w:pPr>
        <w:spacing w:line="360" w:lineRule="auto"/>
        <w:jc w:val="both"/>
        <w:rPr>
          <w:sz w:val="22"/>
          <w:szCs w:val="22"/>
        </w:rPr>
      </w:pPr>
      <w:r w:rsidRPr="003131ED">
        <w:rPr>
          <w:sz w:val="22"/>
          <w:szCs w:val="22"/>
          <w:vertAlign w:val="superscript"/>
        </w:rPr>
        <w:t>3</w:t>
      </w:r>
      <w:r w:rsidRPr="003131ED">
        <w:rPr>
          <w:sz w:val="22"/>
          <w:szCs w:val="22"/>
        </w:rPr>
        <w:t>Translational Brain Research Center, Penn State College of Medicine, Hershey, PA, USA</w:t>
      </w:r>
    </w:p>
    <w:p w14:paraId="4FCFA51C" w14:textId="5C22597B" w:rsidR="0080789B" w:rsidRPr="003131ED" w:rsidRDefault="00B9550D" w:rsidP="00D0468C">
      <w:pPr>
        <w:spacing w:line="360" w:lineRule="auto"/>
        <w:jc w:val="both"/>
        <w:rPr>
          <w:sz w:val="22"/>
          <w:szCs w:val="22"/>
        </w:rPr>
      </w:pPr>
      <w:r w:rsidRPr="003131ED">
        <w:rPr>
          <w:sz w:val="22"/>
          <w:szCs w:val="22"/>
          <w:vertAlign w:val="superscript"/>
        </w:rPr>
        <w:t>#</w:t>
      </w:r>
      <w:r w:rsidRPr="003131ED">
        <w:rPr>
          <w:sz w:val="22"/>
          <w:szCs w:val="22"/>
        </w:rPr>
        <w:t xml:space="preserve">Present address: </w:t>
      </w:r>
      <w:proofErr w:type="spellStart"/>
      <w:r w:rsidR="00131E42" w:rsidRPr="003131ED">
        <w:rPr>
          <w:sz w:val="22"/>
          <w:szCs w:val="22"/>
        </w:rPr>
        <w:t>Neurocrine</w:t>
      </w:r>
      <w:proofErr w:type="spellEnd"/>
      <w:r w:rsidR="00131E42" w:rsidRPr="003131ED">
        <w:rPr>
          <w:sz w:val="22"/>
          <w:szCs w:val="22"/>
        </w:rPr>
        <w:t xml:space="preserve"> Biosciences, San Diego, CA, USA</w:t>
      </w:r>
    </w:p>
    <w:p w14:paraId="49BA4FF0" w14:textId="7CAE3D03" w:rsidR="0080789B" w:rsidRPr="003131ED" w:rsidRDefault="00B9550D" w:rsidP="00D0468C">
      <w:pPr>
        <w:spacing w:line="360" w:lineRule="auto"/>
        <w:jc w:val="both"/>
        <w:rPr>
          <w:sz w:val="22"/>
          <w:szCs w:val="22"/>
        </w:rPr>
      </w:pPr>
      <w:r w:rsidRPr="003131ED">
        <w:rPr>
          <w:sz w:val="22"/>
          <w:szCs w:val="22"/>
          <w:vertAlign w:val="superscript"/>
        </w:rPr>
        <w:t>*</w:t>
      </w:r>
      <w:r w:rsidR="0080789B" w:rsidRPr="003131ED">
        <w:rPr>
          <w:sz w:val="22"/>
          <w:szCs w:val="22"/>
        </w:rPr>
        <w:t>Corresponding author:</w:t>
      </w:r>
      <w:r w:rsidR="007D4843" w:rsidRPr="003131ED">
        <w:rPr>
          <w:sz w:val="22"/>
          <w:szCs w:val="22"/>
        </w:rPr>
        <w:t xml:space="preserve"> </w:t>
      </w:r>
      <w:r w:rsidR="0080789B" w:rsidRPr="003131ED">
        <w:rPr>
          <w:sz w:val="22"/>
          <w:szCs w:val="22"/>
        </w:rPr>
        <w:t>500 University Drive, Hershey, PA</w:t>
      </w:r>
      <w:r w:rsidR="007D4843" w:rsidRPr="003131ED">
        <w:rPr>
          <w:sz w:val="22"/>
          <w:szCs w:val="22"/>
        </w:rPr>
        <w:t xml:space="preserve">; </w:t>
      </w:r>
      <w:r w:rsidR="0080789B" w:rsidRPr="003131ED">
        <w:rPr>
          <w:sz w:val="22"/>
          <w:szCs w:val="22"/>
        </w:rPr>
        <w:t>jconnor@pennstatehealth.psu.edu</w:t>
      </w:r>
    </w:p>
    <w:p w14:paraId="646CF8F0" w14:textId="77777777" w:rsidR="0080789B" w:rsidRPr="003131ED" w:rsidRDefault="0080789B" w:rsidP="00D0468C">
      <w:pPr>
        <w:spacing w:line="360" w:lineRule="auto"/>
        <w:jc w:val="both"/>
      </w:pPr>
    </w:p>
    <w:p w14:paraId="3F32CBC3" w14:textId="3764FC1A" w:rsidR="0080789B" w:rsidRPr="003131ED" w:rsidRDefault="0080789B" w:rsidP="00D0468C">
      <w:pPr>
        <w:spacing w:line="360" w:lineRule="auto"/>
        <w:jc w:val="both"/>
      </w:pPr>
    </w:p>
    <w:p w14:paraId="38284F08" w14:textId="7D6CBAB9" w:rsidR="00D21119" w:rsidRPr="003131ED" w:rsidRDefault="00D21119" w:rsidP="00D0468C">
      <w:pPr>
        <w:spacing w:line="360" w:lineRule="auto"/>
        <w:jc w:val="both"/>
      </w:pPr>
    </w:p>
    <w:p w14:paraId="4F443CB9" w14:textId="07DA663E" w:rsidR="00D21119" w:rsidRPr="003131ED" w:rsidRDefault="00D21119" w:rsidP="00D0468C">
      <w:pPr>
        <w:spacing w:line="360" w:lineRule="auto"/>
        <w:jc w:val="both"/>
      </w:pPr>
    </w:p>
    <w:p w14:paraId="6091149D" w14:textId="38D0BECD" w:rsidR="00D21119" w:rsidRPr="003131ED" w:rsidRDefault="00D21119" w:rsidP="00D0468C">
      <w:pPr>
        <w:spacing w:line="360" w:lineRule="auto"/>
        <w:jc w:val="both"/>
      </w:pPr>
    </w:p>
    <w:p w14:paraId="3B348A4D" w14:textId="69AA7EEB" w:rsidR="00D21119" w:rsidRPr="003131ED" w:rsidRDefault="00D21119" w:rsidP="00D0468C">
      <w:pPr>
        <w:spacing w:line="360" w:lineRule="auto"/>
        <w:jc w:val="both"/>
      </w:pPr>
    </w:p>
    <w:p w14:paraId="4CD3DA22" w14:textId="21670EED" w:rsidR="00D21119" w:rsidRPr="003131ED" w:rsidRDefault="00D21119" w:rsidP="00D0468C">
      <w:pPr>
        <w:spacing w:line="360" w:lineRule="auto"/>
        <w:jc w:val="both"/>
      </w:pPr>
    </w:p>
    <w:p w14:paraId="09B462B5" w14:textId="683B6D9A" w:rsidR="00E67C81" w:rsidRPr="003131ED" w:rsidRDefault="00E67C81" w:rsidP="00D0468C">
      <w:pPr>
        <w:spacing w:line="360" w:lineRule="auto"/>
        <w:jc w:val="both"/>
      </w:pPr>
    </w:p>
    <w:p w14:paraId="4AE8A175" w14:textId="48704D85" w:rsidR="00E67C81" w:rsidRPr="003131ED" w:rsidRDefault="00E67C81" w:rsidP="00D0468C">
      <w:pPr>
        <w:spacing w:line="360" w:lineRule="auto"/>
        <w:jc w:val="both"/>
      </w:pPr>
    </w:p>
    <w:p w14:paraId="175ACF3D" w14:textId="11CD1B6C" w:rsidR="00E1693F" w:rsidRPr="003131ED" w:rsidRDefault="00E1693F" w:rsidP="00D0468C">
      <w:pPr>
        <w:spacing w:line="360" w:lineRule="auto"/>
        <w:jc w:val="both"/>
      </w:pPr>
    </w:p>
    <w:p w14:paraId="04A1C3EC" w14:textId="4CE5E55D" w:rsidR="00E1693F" w:rsidRPr="003131ED" w:rsidRDefault="00E1693F" w:rsidP="00D0468C">
      <w:pPr>
        <w:spacing w:line="360" w:lineRule="auto"/>
        <w:jc w:val="both"/>
      </w:pPr>
    </w:p>
    <w:p w14:paraId="2A9CF634" w14:textId="629E056D" w:rsidR="00E1693F" w:rsidRPr="003131ED" w:rsidRDefault="00E1693F" w:rsidP="00D0468C">
      <w:pPr>
        <w:spacing w:line="360" w:lineRule="auto"/>
        <w:jc w:val="both"/>
      </w:pPr>
    </w:p>
    <w:p w14:paraId="63430CF3" w14:textId="1E54A4C4" w:rsidR="00E1693F" w:rsidRPr="003131ED" w:rsidRDefault="00E1693F" w:rsidP="00D0468C">
      <w:pPr>
        <w:spacing w:line="360" w:lineRule="auto"/>
        <w:jc w:val="both"/>
      </w:pPr>
    </w:p>
    <w:p w14:paraId="3041A88E" w14:textId="61EC0FA6" w:rsidR="00E1693F" w:rsidRPr="003131ED" w:rsidRDefault="00E1693F" w:rsidP="00D0468C">
      <w:pPr>
        <w:spacing w:line="360" w:lineRule="auto"/>
        <w:jc w:val="both"/>
      </w:pPr>
    </w:p>
    <w:p w14:paraId="382138C2" w14:textId="6D8B4211" w:rsidR="00E1693F" w:rsidRPr="003131ED" w:rsidRDefault="00E1693F" w:rsidP="00D0468C">
      <w:pPr>
        <w:spacing w:line="360" w:lineRule="auto"/>
        <w:jc w:val="both"/>
      </w:pPr>
    </w:p>
    <w:p w14:paraId="12726CFB" w14:textId="4ACB94C0" w:rsidR="00E1693F" w:rsidRPr="003131ED" w:rsidRDefault="00E1693F" w:rsidP="00D0468C">
      <w:pPr>
        <w:spacing w:line="360" w:lineRule="auto"/>
        <w:jc w:val="both"/>
      </w:pPr>
    </w:p>
    <w:p w14:paraId="7F167318" w14:textId="77777777" w:rsidR="00E1693F" w:rsidRPr="003131ED" w:rsidRDefault="00E1693F" w:rsidP="00D0468C">
      <w:pPr>
        <w:spacing w:line="360" w:lineRule="auto"/>
        <w:jc w:val="both"/>
      </w:pPr>
    </w:p>
    <w:p w14:paraId="28CB06C5" w14:textId="0FCF6DB7" w:rsidR="00E67C81" w:rsidRPr="003131ED" w:rsidRDefault="00E67C81" w:rsidP="00D0468C">
      <w:pPr>
        <w:spacing w:line="360" w:lineRule="auto"/>
        <w:jc w:val="both"/>
      </w:pPr>
    </w:p>
    <w:p w14:paraId="23B0B729" w14:textId="4D6F63C7" w:rsidR="00E67C81" w:rsidRPr="003131ED" w:rsidRDefault="00E67C81" w:rsidP="00D0468C">
      <w:pPr>
        <w:spacing w:line="360" w:lineRule="auto"/>
        <w:jc w:val="both"/>
      </w:pPr>
    </w:p>
    <w:p w14:paraId="4553B8DC" w14:textId="37E7BB85" w:rsidR="00E67C81" w:rsidRPr="003131ED" w:rsidRDefault="00E67C81" w:rsidP="00D0468C">
      <w:pPr>
        <w:spacing w:line="360" w:lineRule="auto"/>
        <w:jc w:val="both"/>
      </w:pPr>
    </w:p>
    <w:p w14:paraId="5011B0DC" w14:textId="51BAD611" w:rsidR="00E67C81" w:rsidRPr="003131ED" w:rsidRDefault="00E67C81" w:rsidP="00D0468C">
      <w:pPr>
        <w:spacing w:line="360" w:lineRule="auto"/>
        <w:jc w:val="both"/>
      </w:pPr>
    </w:p>
    <w:p w14:paraId="1AC3914B" w14:textId="77777777" w:rsidR="00B554F9" w:rsidRPr="003131ED" w:rsidRDefault="00B554F9" w:rsidP="00D0468C">
      <w:pPr>
        <w:spacing w:line="360" w:lineRule="auto"/>
        <w:jc w:val="both"/>
        <w:rPr>
          <w:b/>
          <w:sz w:val="28"/>
          <w:szCs w:val="28"/>
        </w:rPr>
      </w:pPr>
    </w:p>
    <w:p w14:paraId="14F2156F" w14:textId="77777777" w:rsidR="00B554F9" w:rsidRPr="003131ED" w:rsidRDefault="00B554F9" w:rsidP="00D0468C">
      <w:pPr>
        <w:spacing w:line="360" w:lineRule="auto"/>
        <w:jc w:val="both"/>
        <w:rPr>
          <w:b/>
          <w:sz w:val="28"/>
          <w:szCs w:val="28"/>
        </w:rPr>
      </w:pPr>
    </w:p>
    <w:p w14:paraId="1DCD8412" w14:textId="77777777" w:rsidR="00C7543F" w:rsidRPr="003131ED" w:rsidRDefault="00C7543F" w:rsidP="00D0468C">
      <w:pPr>
        <w:spacing w:line="360" w:lineRule="auto"/>
        <w:jc w:val="both"/>
        <w:rPr>
          <w:b/>
          <w:sz w:val="22"/>
          <w:szCs w:val="22"/>
        </w:rPr>
      </w:pPr>
    </w:p>
    <w:p w14:paraId="570B135A" w14:textId="4577BE54" w:rsidR="00E67C81" w:rsidRPr="003131ED" w:rsidRDefault="00E67C81" w:rsidP="00D0468C">
      <w:pPr>
        <w:spacing w:line="360" w:lineRule="auto"/>
        <w:jc w:val="both"/>
        <w:rPr>
          <w:b/>
        </w:rPr>
      </w:pPr>
      <w:r w:rsidRPr="003131ED">
        <w:rPr>
          <w:b/>
        </w:rPr>
        <w:lastRenderedPageBreak/>
        <w:t>Abstract</w:t>
      </w:r>
    </w:p>
    <w:p w14:paraId="58D6A5CC" w14:textId="387EA23B" w:rsidR="00600599" w:rsidRPr="003131ED" w:rsidRDefault="009E6CCC" w:rsidP="00D0468C">
      <w:pPr>
        <w:spacing w:line="360" w:lineRule="auto"/>
        <w:jc w:val="both"/>
        <w:rPr>
          <w:rFonts w:eastAsia="Arial"/>
          <w:sz w:val="22"/>
          <w:szCs w:val="22"/>
        </w:rPr>
      </w:pPr>
      <w:r w:rsidRPr="003131ED">
        <w:rPr>
          <w:rFonts w:eastAsia="Arial"/>
          <w:sz w:val="22"/>
          <w:szCs w:val="22"/>
        </w:rPr>
        <w:t xml:space="preserve">Pathological features of Parkinson’s disease include </w:t>
      </w:r>
      <w:r w:rsidR="000E6FD3" w:rsidRPr="003131ED">
        <w:rPr>
          <w:rFonts w:eastAsia="Arial"/>
          <w:sz w:val="22"/>
          <w:szCs w:val="22"/>
        </w:rPr>
        <w:t xml:space="preserve">the </w:t>
      </w:r>
      <w:r w:rsidRPr="003131ED">
        <w:rPr>
          <w:rFonts w:eastAsia="Arial"/>
          <w:sz w:val="22"/>
          <w:szCs w:val="22"/>
        </w:rPr>
        <w:t xml:space="preserve">formation of Lewy bodies containing </w:t>
      </w:r>
      <w:r w:rsidRPr="003131ED">
        <w:rPr>
          <w:rFonts w:eastAsia="Arial"/>
          <w:sz w:val="22"/>
          <w:szCs w:val="22"/>
        </w:rPr>
        <w:sym w:font="Symbol" w:char="F061"/>
      </w:r>
      <w:r w:rsidRPr="003131ED">
        <w:rPr>
          <w:rFonts w:eastAsia="Arial"/>
          <w:sz w:val="22"/>
          <w:szCs w:val="22"/>
        </w:rPr>
        <w:t>-synuclein</w:t>
      </w:r>
      <w:r w:rsidR="006B03F5" w:rsidRPr="003131ED">
        <w:rPr>
          <w:rFonts w:eastAsia="Arial"/>
          <w:sz w:val="22"/>
          <w:szCs w:val="22"/>
        </w:rPr>
        <w:t xml:space="preserve"> </w:t>
      </w:r>
      <w:r w:rsidRPr="003131ED">
        <w:rPr>
          <w:rFonts w:eastAsia="Arial"/>
          <w:sz w:val="22"/>
          <w:szCs w:val="22"/>
        </w:rPr>
        <w:t xml:space="preserve">and </w:t>
      </w:r>
      <w:r w:rsidR="000E6FD3" w:rsidRPr="003131ED">
        <w:rPr>
          <w:rFonts w:eastAsia="Arial"/>
          <w:sz w:val="22"/>
          <w:szCs w:val="22"/>
        </w:rPr>
        <w:t xml:space="preserve">the </w:t>
      </w:r>
      <w:r w:rsidRPr="003131ED">
        <w:rPr>
          <w:rFonts w:eastAsia="Arial"/>
          <w:sz w:val="22"/>
          <w:szCs w:val="22"/>
        </w:rPr>
        <w:t xml:space="preserve">accumulation of iron in the substantia nigra. </w:t>
      </w:r>
      <w:r w:rsidR="004108AD" w:rsidRPr="003131ED">
        <w:rPr>
          <w:rFonts w:eastAsia="Arial"/>
          <w:sz w:val="22"/>
          <w:szCs w:val="22"/>
        </w:rPr>
        <w:t>P</w:t>
      </w:r>
      <w:r w:rsidRPr="003131ED">
        <w:rPr>
          <w:rFonts w:eastAsia="Arial"/>
          <w:sz w:val="22"/>
          <w:szCs w:val="22"/>
        </w:rPr>
        <w:t xml:space="preserve">revious studies </w:t>
      </w:r>
      <w:r w:rsidR="0081586B" w:rsidRPr="003131ED">
        <w:rPr>
          <w:rFonts w:eastAsia="Arial"/>
          <w:sz w:val="22"/>
          <w:szCs w:val="22"/>
        </w:rPr>
        <w:t xml:space="preserve">have </w:t>
      </w:r>
      <w:r w:rsidRPr="003131ED">
        <w:rPr>
          <w:rFonts w:eastAsia="Arial"/>
          <w:sz w:val="22"/>
          <w:szCs w:val="22"/>
        </w:rPr>
        <w:t>suggest</w:t>
      </w:r>
      <w:r w:rsidR="0081586B" w:rsidRPr="003131ED">
        <w:rPr>
          <w:rFonts w:eastAsia="Arial"/>
          <w:sz w:val="22"/>
          <w:szCs w:val="22"/>
        </w:rPr>
        <w:t>ed</w:t>
      </w:r>
      <w:r w:rsidRPr="003131ED">
        <w:rPr>
          <w:rFonts w:eastAsia="Arial"/>
          <w:sz w:val="22"/>
          <w:szCs w:val="22"/>
        </w:rPr>
        <w:t xml:space="preserve"> that iron accumulation contributes to the </w:t>
      </w:r>
      <w:r w:rsidR="004108AD" w:rsidRPr="003131ED">
        <w:rPr>
          <w:rFonts w:eastAsia="Arial"/>
          <w:sz w:val="22"/>
          <w:szCs w:val="22"/>
        </w:rPr>
        <w:t xml:space="preserve">Parkinson’s </w:t>
      </w:r>
      <w:r w:rsidRPr="003131ED">
        <w:rPr>
          <w:rFonts w:eastAsia="Arial"/>
          <w:sz w:val="22"/>
          <w:szCs w:val="22"/>
        </w:rPr>
        <w:t>disease pathology through reactive oxygen species</w:t>
      </w:r>
      <w:r w:rsidR="00C80017" w:rsidRPr="003131ED">
        <w:rPr>
          <w:rFonts w:eastAsia="Arial"/>
          <w:sz w:val="22"/>
          <w:szCs w:val="22"/>
        </w:rPr>
        <w:t xml:space="preserve"> </w:t>
      </w:r>
      <w:r w:rsidRPr="003131ED">
        <w:rPr>
          <w:rFonts w:eastAsia="Arial"/>
          <w:sz w:val="22"/>
          <w:szCs w:val="22"/>
        </w:rPr>
        <w:t xml:space="preserve">production and accelerated </w:t>
      </w:r>
      <w:r w:rsidRPr="003131ED">
        <w:rPr>
          <w:rFonts w:eastAsia="Arial"/>
          <w:sz w:val="22"/>
          <w:szCs w:val="22"/>
        </w:rPr>
        <w:sym w:font="Symbol" w:char="F061"/>
      </w:r>
      <w:r w:rsidRPr="003131ED">
        <w:rPr>
          <w:rFonts w:eastAsia="Arial"/>
          <w:sz w:val="22"/>
          <w:szCs w:val="22"/>
        </w:rPr>
        <w:t>-syn</w:t>
      </w:r>
      <w:r w:rsidR="00C80017" w:rsidRPr="003131ED">
        <w:rPr>
          <w:rFonts w:eastAsia="Arial"/>
          <w:sz w:val="22"/>
          <w:szCs w:val="22"/>
        </w:rPr>
        <w:t>uclein</w:t>
      </w:r>
      <w:r w:rsidRPr="003131ED">
        <w:rPr>
          <w:rFonts w:eastAsia="Arial"/>
          <w:sz w:val="22"/>
          <w:szCs w:val="22"/>
        </w:rPr>
        <w:t xml:space="preserve"> aggregation. </w:t>
      </w:r>
      <w:r w:rsidR="00CF70DD" w:rsidRPr="003131ED">
        <w:rPr>
          <w:rFonts w:eastAsia="Arial"/>
          <w:sz w:val="22"/>
          <w:szCs w:val="22"/>
        </w:rPr>
        <w:t>The c</w:t>
      </w:r>
      <w:r w:rsidR="004108AD" w:rsidRPr="003131ED">
        <w:rPr>
          <w:rFonts w:eastAsia="Arial"/>
          <w:sz w:val="22"/>
          <w:szCs w:val="22"/>
        </w:rPr>
        <w:t>urrent study</w:t>
      </w:r>
      <w:r w:rsidRPr="003131ED">
        <w:rPr>
          <w:rFonts w:eastAsia="Arial"/>
          <w:sz w:val="22"/>
          <w:szCs w:val="22"/>
        </w:rPr>
        <w:t xml:space="preserve"> </w:t>
      </w:r>
      <w:r w:rsidR="004108AD" w:rsidRPr="003131ED">
        <w:rPr>
          <w:rFonts w:eastAsia="Arial"/>
          <w:sz w:val="22"/>
          <w:szCs w:val="22"/>
        </w:rPr>
        <w:t>examines</w:t>
      </w:r>
      <w:r w:rsidR="009B3C53" w:rsidRPr="003131ED">
        <w:rPr>
          <w:rFonts w:eastAsia="Arial"/>
          <w:sz w:val="22"/>
          <w:szCs w:val="22"/>
        </w:rPr>
        <w:t xml:space="preserve"> </w:t>
      </w:r>
      <w:r w:rsidRPr="003131ED">
        <w:rPr>
          <w:rFonts w:eastAsia="Arial"/>
          <w:sz w:val="22"/>
          <w:szCs w:val="22"/>
        </w:rPr>
        <w:t>the effects of commonly occurring H63D variant of the homeostatic iron regulatory (</w:t>
      </w:r>
      <w:r w:rsidRPr="003131ED">
        <w:rPr>
          <w:rFonts w:eastAsia="Arial"/>
          <w:i/>
          <w:sz w:val="22"/>
          <w:szCs w:val="22"/>
        </w:rPr>
        <w:t xml:space="preserve">HFE) </w:t>
      </w:r>
      <w:r w:rsidRPr="003131ED">
        <w:rPr>
          <w:rFonts w:eastAsia="Arial"/>
          <w:sz w:val="22"/>
          <w:szCs w:val="22"/>
        </w:rPr>
        <w:t xml:space="preserve">gene on </w:t>
      </w:r>
      <w:r w:rsidRPr="003131ED">
        <w:rPr>
          <w:rFonts w:eastAsia="Arial"/>
          <w:sz w:val="22"/>
          <w:szCs w:val="22"/>
        </w:rPr>
        <w:sym w:font="Symbol" w:char="F061"/>
      </w:r>
      <w:r w:rsidRPr="003131ED">
        <w:rPr>
          <w:rFonts w:eastAsia="Arial"/>
          <w:sz w:val="22"/>
          <w:szCs w:val="22"/>
        </w:rPr>
        <w:t>-syn</w:t>
      </w:r>
      <w:r w:rsidR="00C80017" w:rsidRPr="003131ED">
        <w:rPr>
          <w:rFonts w:eastAsia="Arial"/>
          <w:sz w:val="22"/>
          <w:szCs w:val="22"/>
        </w:rPr>
        <w:t>uclein</w:t>
      </w:r>
      <w:r w:rsidRPr="003131ED">
        <w:rPr>
          <w:rFonts w:eastAsia="Arial"/>
          <w:sz w:val="22"/>
          <w:szCs w:val="22"/>
        </w:rPr>
        <w:t xml:space="preserve"> pathology in cell culture</w:t>
      </w:r>
      <w:r w:rsidR="00767AF7" w:rsidRPr="003131ED">
        <w:rPr>
          <w:rFonts w:eastAsia="Arial"/>
          <w:sz w:val="22"/>
          <w:szCs w:val="22"/>
        </w:rPr>
        <w:t xml:space="preserve"> and </w:t>
      </w:r>
      <w:r w:rsidRPr="003131ED">
        <w:rPr>
          <w:rFonts w:eastAsia="Arial"/>
          <w:sz w:val="22"/>
          <w:szCs w:val="22"/>
        </w:rPr>
        <w:t>animal model</w:t>
      </w:r>
      <w:r w:rsidR="006B03F5" w:rsidRPr="003131ED">
        <w:rPr>
          <w:rFonts w:eastAsia="Arial"/>
          <w:sz w:val="22"/>
          <w:szCs w:val="22"/>
        </w:rPr>
        <w:t>s</w:t>
      </w:r>
      <w:r w:rsidR="00767AF7" w:rsidRPr="003131ED">
        <w:rPr>
          <w:rFonts w:eastAsia="Arial"/>
          <w:sz w:val="22"/>
          <w:szCs w:val="22"/>
        </w:rPr>
        <w:t>.</w:t>
      </w:r>
      <w:r w:rsidR="00B74354" w:rsidRPr="003131ED">
        <w:rPr>
          <w:rFonts w:eastAsia="Arial"/>
          <w:sz w:val="22"/>
          <w:szCs w:val="22"/>
        </w:rPr>
        <w:t xml:space="preserve"> </w:t>
      </w:r>
      <w:r w:rsidRPr="003131ED">
        <w:rPr>
          <w:rFonts w:eastAsia="Arial"/>
          <w:sz w:val="22"/>
          <w:szCs w:val="22"/>
        </w:rPr>
        <w:t xml:space="preserve">H63D </w:t>
      </w:r>
      <w:r w:rsidRPr="003131ED">
        <w:rPr>
          <w:rFonts w:eastAsia="Arial"/>
          <w:i/>
          <w:sz w:val="22"/>
          <w:szCs w:val="22"/>
        </w:rPr>
        <w:t>HFE</w:t>
      </w:r>
      <w:r w:rsidRPr="003131ED">
        <w:rPr>
          <w:rFonts w:eastAsia="Arial"/>
          <w:sz w:val="22"/>
          <w:szCs w:val="22"/>
        </w:rPr>
        <w:t xml:space="preserve"> expression </w:t>
      </w:r>
      <w:r w:rsidR="007A7226" w:rsidRPr="003131ED">
        <w:rPr>
          <w:rFonts w:eastAsia="Arial"/>
          <w:sz w:val="22"/>
          <w:szCs w:val="22"/>
        </w:rPr>
        <w:t xml:space="preserve">in SH-SY5Y cells </w:t>
      </w:r>
      <w:r w:rsidRPr="003131ED">
        <w:rPr>
          <w:rFonts w:eastAsia="Arial"/>
          <w:sz w:val="22"/>
          <w:szCs w:val="22"/>
        </w:rPr>
        <w:t xml:space="preserve">lowered endogenous </w:t>
      </w:r>
      <w:r w:rsidRPr="003131ED">
        <w:rPr>
          <w:rFonts w:eastAsia="Arial"/>
          <w:sz w:val="22"/>
          <w:szCs w:val="22"/>
        </w:rPr>
        <w:sym w:font="Symbol" w:char="F061"/>
      </w:r>
      <w:r w:rsidRPr="003131ED">
        <w:rPr>
          <w:rFonts w:eastAsia="Arial"/>
          <w:sz w:val="22"/>
          <w:szCs w:val="22"/>
        </w:rPr>
        <w:t xml:space="preserve">-synuclein levels and significantly decreased </w:t>
      </w:r>
      <w:r w:rsidR="00106E9C" w:rsidRPr="003131ED">
        <w:rPr>
          <w:rFonts w:eastAsia="Arial"/>
          <w:sz w:val="22"/>
          <w:szCs w:val="22"/>
        </w:rPr>
        <w:t>pre-formed fibril</w:t>
      </w:r>
      <w:r w:rsidR="003A2F66" w:rsidRPr="003131ED">
        <w:rPr>
          <w:rFonts w:eastAsia="Arial"/>
          <w:sz w:val="22"/>
          <w:szCs w:val="22"/>
        </w:rPr>
        <w:t xml:space="preserve"> </w:t>
      </w:r>
      <w:r w:rsidRPr="003131ED">
        <w:rPr>
          <w:rFonts w:eastAsia="Arial"/>
          <w:sz w:val="22"/>
          <w:szCs w:val="22"/>
        </w:rPr>
        <w:t xml:space="preserve">induced </w:t>
      </w:r>
      <w:r w:rsidRPr="003131ED">
        <w:rPr>
          <w:rFonts w:eastAsia="Arial"/>
          <w:sz w:val="22"/>
          <w:szCs w:val="22"/>
        </w:rPr>
        <w:sym w:font="Symbol" w:char="F061"/>
      </w:r>
      <w:r w:rsidRPr="003131ED">
        <w:rPr>
          <w:rFonts w:eastAsia="Arial"/>
          <w:sz w:val="22"/>
          <w:szCs w:val="22"/>
        </w:rPr>
        <w:t>-syn</w:t>
      </w:r>
      <w:r w:rsidR="004724EB" w:rsidRPr="003131ED">
        <w:rPr>
          <w:rFonts w:eastAsia="Arial"/>
          <w:sz w:val="22"/>
          <w:szCs w:val="22"/>
        </w:rPr>
        <w:t>uclein</w:t>
      </w:r>
      <w:r w:rsidRPr="003131ED">
        <w:rPr>
          <w:rFonts w:eastAsia="Arial"/>
          <w:sz w:val="22"/>
          <w:szCs w:val="22"/>
        </w:rPr>
        <w:t xml:space="preserve"> aggregation. H63D </w:t>
      </w:r>
      <w:r w:rsidRPr="003131ED">
        <w:rPr>
          <w:rFonts w:eastAsia="Arial"/>
          <w:i/>
          <w:sz w:val="22"/>
          <w:szCs w:val="22"/>
        </w:rPr>
        <w:t>HFE</w:t>
      </w:r>
      <w:r w:rsidRPr="003131ED">
        <w:rPr>
          <w:rFonts w:eastAsia="Arial"/>
          <w:sz w:val="22"/>
          <w:szCs w:val="22"/>
        </w:rPr>
        <w:t xml:space="preserve"> cells were also protected from </w:t>
      </w:r>
      <w:r w:rsidR="00106E9C" w:rsidRPr="003131ED">
        <w:rPr>
          <w:rFonts w:eastAsia="Arial"/>
          <w:sz w:val="22"/>
          <w:szCs w:val="22"/>
        </w:rPr>
        <w:t>pre-formed fibril</w:t>
      </w:r>
      <w:r w:rsidRPr="003131ED">
        <w:rPr>
          <w:rFonts w:eastAsia="Arial"/>
          <w:sz w:val="22"/>
          <w:szCs w:val="22"/>
        </w:rPr>
        <w:t xml:space="preserve"> induced apoptosis. Autophag</w:t>
      </w:r>
      <w:r w:rsidR="003A2F66" w:rsidRPr="003131ED">
        <w:rPr>
          <w:rFonts w:eastAsia="Arial"/>
          <w:sz w:val="22"/>
          <w:szCs w:val="22"/>
        </w:rPr>
        <w:t>ic flux</w:t>
      </w:r>
      <w:r w:rsidRPr="003131ED">
        <w:rPr>
          <w:rFonts w:eastAsia="Arial"/>
          <w:sz w:val="22"/>
          <w:szCs w:val="22"/>
        </w:rPr>
        <w:t xml:space="preserve">, a major pathway for </w:t>
      </w:r>
      <w:r w:rsidRPr="003131ED">
        <w:rPr>
          <w:rFonts w:eastAsia="Arial"/>
          <w:sz w:val="22"/>
          <w:szCs w:val="22"/>
        </w:rPr>
        <w:sym w:font="Symbol" w:char="F061"/>
      </w:r>
      <w:r w:rsidRPr="003131ED">
        <w:rPr>
          <w:rFonts w:eastAsia="Arial"/>
          <w:sz w:val="22"/>
          <w:szCs w:val="22"/>
        </w:rPr>
        <w:t>-syn</w:t>
      </w:r>
      <w:r w:rsidR="00374918" w:rsidRPr="003131ED">
        <w:rPr>
          <w:rFonts w:eastAsia="Arial"/>
          <w:sz w:val="22"/>
          <w:szCs w:val="22"/>
        </w:rPr>
        <w:t>uclein</w:t>
      </w:r>
      <w:r w:rsidRPr="003131ED">
        <w:rPr>
          <w:rFonts w:eastAsia="Arial"/>
          <w:sz w:val="22"/>
          <w:szCs w:val="22"/>
        </w:rPr>
        <w:t xml:space="preserve"> clearance, was </w:t>
      </w:r>
      <w:r w:rsidR="003A2F66" w:rsidRPr="003131ED">
        <w:rPr>
          <w:rFonts w:eastAsia="Arial"/>
          <w:sz w:val="22"/>
          <w:szCs w:val="22"/>
        </w:rPr>
        <w:t>increased</w:t>
      </w:r>
      <w:r w:rsidRPr="003131ED">
        <w:rPr>
          <w:rFonts w:eastAsia="Arial"/>
          <w:sz w:val="22"/>
          <w:szCs w:val="22"/>
        </w:rPr>
        <w:t xml:space="preserve"> in H63D </w:t>
      </w:r>
      <w:r w:rsidRPr="003131ED">
        <w:rPr>
          <w:rFonts w:eastAsia="Arial"/>
          <w:i/>
          <w:sz w:val="22"/>
          <w:szCs w:val="22"/>
        </w:rPr>
        <w:t>HFE</w:t>
      </w:r>
      <w:r w:rsidRPr="003131ED">
        <w:rPr>
          <w:rFonts w:eastAsia="Arial"/>
          <w:sz w:val="22"/>
          <w:szCs w:val="22"/>
        </w:rPr>
        <w:t xml:space="preserve"> cells. Expression of REDD1</w:t>
      </w:r>
      <w:r w:rsidR="009B3C53" w:rsidRPr="003131ED">
        <w:rPr>
          <w:rFonts w:eastAsia="Arial"/>
          <w:sz w:val="22"/>
          <w:szCs w:val="22"/>
        </w:rPr>
        <w:t xml:space="preserve"> </w:t>
      </w:r>
      <w:r w:rsidRPr="003131ED">
        <w:rPr>
          <w:rFonts w:eastAsia="Arial"/>
          <w:sz w:val="22"/>
          <w:szCs w:val="22"/>
        </w:rPr>
        <w:t xml:space="preserve">was </w:t>
      </w:r>
      <w:r w:rsidR="003A2F66" w:rsidRPr="003131ED">
        <w:rPr>
          <w:rFonts w:eastAsia="Arial"/>
          <w:sz w:val="22"/>
          <w:szCs w:val="22"/>
        </w:rPr>
        <w:t>elevated</w:t>
      </w:r>
      <w:r w:rsidRPr="003131ED">
        <w:rPr>
          <w:rFonts w:eastAsia="Arial"/>
          <w:sz w:val="22"/>
          <w:szCs w:val="22"/>
        </w:rPr>
        <w:t xml:space="preserve"> and rapamycin treatment was unable to further induce autophagy, indicating mTORC1 inhibition as the main mechanism</w:t>
      </w:r>
      <w:r w:rsidR="009B3C53" w:rsidRPr="003131ED">
        <w:rPr>
          <w:rFonts w:eastAsia="Arial"/>
          <w:sz w:val="22"/>
          <w:szCs w:val="22"/>
        </w:rPr>
        <w:t xml:space="preserve"> of autophagy induction</w:t>
      </w:r>
      <w:r w:rsidRPr="003131ED">
        <w:rPr>
          <w:rFonts w:eastAsia="Arial"/>
          <w:sz w:val="22"/>
          <w:szCs w:val="22"/>
        </w:rPr>
        <w:t>.</w:t>
      </w:r>
      <w:r w:rsidR="0028083D" w:rsidRPr="003131ED">
        <w:rPr>
          <w:rFonts w:eastAsia="Arial"/>
          <w:sz w:val="22"/>
          <w:szCs w:val="22"/>
        </w:rPr>
        <w:t xml:space="preserve"> </w:t>
      </w:r>
      <w:r w:rsidR="00C6483A" w:rsidRPr="003131ED">
        <w:rPr>
          <w:rFonts w:eastAsia="Arial"/>
          <w:sz w:val="22"/>
          <w:szCs w:val="22"/>
        </w:rPr>
        <w:t xml:space="preserve">Moreover, </w:t>
      </w:r>
      <w:r w:rsidR="00B74354" w:rsidRPr="003131ED">
        <w:rPr>
          <w:rFonts w:eastAsia="Arial"/>
          <w:sz w:val="22"/>
          <w:szCs w:val="22"/>
        </w:rPr>
        <w:t xml:space="preserve">siRNA knockdown of REDD1 </w:t>
      </w:r>
      <w:r w:rsidR="00282EDD" w:rsidRPr="003131ED">
        <w:rPr>
          <w:rFonts w:eastAsia="Arial"/>
          <w:sz w:val="22"/>
          <w:szCs w:val="22"/>
        </w:rPr>
        <w:t xml:space="preserve">in H63D </w:t>
      </w:r>
      <w:r w:rsidR="00282EDD" w:rsidRPr="003131ED">
        <w:rPr>
          <w:rFonts w:eastAsia="Arial"/>
          <w:i/>
          <w:sz w:val="22"/>
          <w:szCs w:val="22"/>
        </w:rPr>
        <w:t>HFE</w:t>
      </w:r>
      <w:r w:rsidR="00282EDD" w:rsidRPr="003131ED">
        <w:rPr>
          <w:rFonts w:eastAsia="Arial"/>
          <w:sz w:val="22"/>
          <w:szCs w:val="22"/>
        </w:rPr>
        <w:t xml:space="preserve"> cells </w:t>
      </w:r>
      <w:r w:rsidR="00C6483A" w:rsidRPr="003131ED">
        <w:rPr>
          <w:rFonts w:eastAsia="Arial"/>
          <w:sz w:val="22"/>
          <w:szCs w:val="22"/>
        </w:rPr>
        <w:t xml:space="preserve">decreased </w:t>
      </w:r>
      <w:r w:rsidR="001A5B72" w:rsidRPr="003131ED">
        <w:rPr>
          <w:rFonts w:eastAsia="Arial"/>
          <w:sz w:val="22"/>
          <w:szCs w:val="22"/>
        </w:rPr>
        <w:t xml:space="preserve">autophagic flux </w:t>
      </w:r>
      <w:r w:rsidR="00282EDD" w:rsidRPr="003131ED">
        <w:rPr>
          <w:rFonts w:eastAsia="Arial"/>
          <w:sz w:val="22"/>
          <w:szCs w:val="22"/>
        </w:rPr>
        <w:t>and increased</w:t>
      </w:r>
      <w:r w:rsidR="000561DB" w:rsidRPr="003131ED">
        <w:rPr>
          <w:rFonts w:eastAsia="Arial"/>
          <w:sz w:val="22"/>
          <w:szCs w:val="22"/>
        </w:rPr>
        <w:t xml:space="preserve"> the </w:t>
      </w:r>
      <w:r w:rsidR="00282EDD" w:rsidRPr="003131ED">
        <w:rPr>
          <w:rFonts w:eastAsia="Arial"/>
          <w:sz w:val="22"/>
          <w:szCs w:val="22"/>
        </w:rPr>
        <w:t xml:space="preserve">sensitivity </w:t>
      </w:r>
      <w:r w:rsidR="000561DB" w:rsidRPr="003131ED">
        <w:rPr>
          <w:rFonts w:eastAsia="Arial"/>
          <w:sz w:val="22"/>
          <w:szCs w:val="22"/>
        </w:rPr>
        <w:t>to</w:t>
      </w:r>
      <w:r w:rsidR="00282EDD" w:rsidRPr="003131ED">
        <w:rPr>
          <w:rFonts w:eastAsia="Arial"/>
          <w:sz w:val="22"/>
          <w:szCs w:val="22"/>
        </w:rPr>
        <w:t xml:space="preserve"> PFF </w:t>
      </w:r>
      <w:r w:rsidR="000561DB" w:rsidRPr="003131ED">
        <w:rPr>
          <w:rFonts w:eastAsia="Arial"/>
          <w:sz w:val="22"/>
          <w:szCs w:val="22"/>
        </w:rPr>
        <w:t xml:space="preserve">mediated </w:t>
      </w:r>
      <w:r w:rsidR="00282EDD" w:rsidRPr="003131ED">
        <w:rPr>
          <w:rFonts w:eastAsia="Arial"/>
          <w:sz w:val="22"/>
          <w:szCs w:val="22"/>
        </w:rPr>
        <w:t>toxicity.</w:t>
      </w:r>
      <w:r w:rsidR="000561DB" w:rsidRPr="003131ED">
        <w:rPr>
          <w:rFonts w:eastAsia="Arial"/>
          <w:sz w:val="22"/>
          <w:szCs w:val="22"/>
        </w:rPr>
        <w:t xml:space="preserve"> </w:t>
      </w:r>
      <w:r w:rsidR="008D01B6" w:rsidRPr="003131ED">
        <w:rPr>
          <w:rFonts w:eastAsia="Arial"/>
          <w:sz w:val="22"/>
          <w:szCs w:val="22"/>
        </w:rPr>
        <w:t>W</w:t>
      </w:r>
      <w:r w:rsidRPr="003131ED">
        <w:rPr>
          <w:rFonts w:eastAsia="Arial"/>
          <w:sz w:val="22"/>
          <w:szCs w:val="22"/>
        </w:rPr>
        <w:t xml:space="preserve">hile </w:t>
      </w:r>
      <w:r w:rsidR="00C06CC9" w:rsidRPr="003131ED">
        <w:rPr>
          <w:rFonts w:eastAsia="Arial"/>
          <w:sz w:val="22"/>
          <w:szCs w:val="22"/>
        </w:rPr>
        <w:t>iron chelator (deferiprone)</w:t>
      </w:r>
      <w:r w:rsidRPr="003131ED">
        <w:rPr>
          <w:rFonts w:eastAsia="Arial"/>
          <w:sz w:val="22"/>
          <w:szCs w:val="22"/>
        </w:rPr>
        <w:t xml:space="preserve"> treatment rescued WT </w:t>
      </w:r>
      <w:r w:rsidRPr="003131ED">
        <w:rPr>
          <w:rFonts w:eastAsia="Arial"/>
          <w:i/>
          <w:sz w:val="22"/>
          <w:szCs w:val="22"/>
        </w:rPr>
        <w:t>HFE</w:t>
      </w:r>
      <w:r w:rsidRPr="003131ED">
        <w:rPr>
          <w:rFonts w:eastAsia="Arial"/>
          <w:sz w:val="22"/>
          <w:szCs w:val="22"/>
        </w:rPr>
        <w:t xml:space="preserve"> cells from </w:t>
      </w:r>
      <w:r w:rsidR="00106E9C" w:rsidRPr="003131ED">
        <w:rPr>
          <w:rFonts w:eastAsia="Arial"/>
          <w:sz w:val="22"/>
          <w:szCs w:val="22"/>
        </w:rPr>
        <w:t>pre-formed fibril</w:t>
      </w:r>
      <w:r w:rsidRPr="003131ED">
        <w:rPr>
          <w:rFonts w:eastAsia="Arial"/>
          <w:sz w:val="22"/>
          <w:szCs w:val="22"/>
        </w:rPr>
        <w:t xml:space="preserve"> toxicity, it exacerbated or was unable to rescue H63D</w:t>
      </w:r>
      <w:r w:rsidRPr="003131ED">
        <w:rPr>
          <w:rFonts w:eastAsia="Arial"/>
          <w:i/>
          <w:sz w:val="22"/>
          <w:szCs w:val="22"/>
        </w:rPr>
        <w:t xml:space="preserve"> HFE</w:t>
      </w:r>
      <w:r w:rsidRPr="003131ED">
        <w:rPr>
          <w:rFonts w:eastAsia="Arial"/>
          <w:sz w:val="22"/>
          <w:szCs w:val="22"/>
        </w:rPr>
        <w:t xml:space="preserve"> cells. </w:t>
      </w:r>
      <w:r w:rsidR="00420911" w:rsidRPr="003131ED">
        <w:rPr>
          <w:rFonts w:eastAsia="Arial"/>
          <w:sz w:val="22"/>
          <w:szCs w:val="22"/>
        </w:rPr>
        <w:t xml:space="preserve">In the </w:t>
      </w:r>
      <w:r w:rsidR="00D15D5B" w:rsidRPr="003131ED">
        <w:rPr>
          <w:rFonts w:eastAsia="Arial"/>
          <w:i/>
          <w:sz w:val="22"/>
          <w:szCs w:val="22"/>
        </w:rPr>
        <w:t xml:space="preserve">in vivo </w:t>
      </w:r>
      <w:r w:rsidR="000561DB" w:rsidRPr="003131ED">
        <w:rPr>
          <w:rFonts w:eastAsia="Arial"/>
          <w:sz w:val="22"/>
          <w:szCs w:val="22"/>
        </w:rPr>
        <w:t xml:space="preserve">pre-formed fibril intracranial injection </w:t>
      </w:r>
      <w:r w:rsidR="00D15D5B" w:rsidRPr="003131ED">
        <w:rPr>
          <w:rFonts w:eastAsia="Arial"/>
          <w:sz w:val="22"/>
          <w:szCs w:val="22"/>
        </w:rPr>
        <w:t xml:space="preserve">model, </w:t>
      </w:r>
      <w:r w:rsidR="00FD2F04" w:rsidRPr="003131ED">
        <w:rPr>
          <w:rFonts w:eastAsia="Arial"/>
          <w:sz w:val="22"/>
          <w:szCs w:val="22"/>
        </w:rPr>
        <w:t xml:space="preserve">H67D </w:t>
      </w:r>
      <w:r w:rsidR="00FD2F04" w:rsidRPr="003131ED">
        <w:rPr>
          <w:rFonts w:eastAsia="Arial"/>
          <w:i/>
          <w:sz w:val="22"/>
          <w:szCs w:val="22"/>
        </w:rPr>
        <w:t>Hfe</w:t>
      </w:r>
      <w:r w:rsidR="00FD2F04" w:rsidRPr="003131ED">
        <w:rPr>
          <w:rFonts w:eastAsia="Arial"/>
          <w:sz w:val="22"/>
          <w:szCs w:val="22"/>
        </w:rPr>
        <w:t xml:space="preserve"> </w:t>
      </w:r>
      <w:r w:rsidR="003B78EC" w:rsidRPr="003131ED">
        <w:rPr>
          <w:rFonts w:eastAsia="Arial"/>
          <w:sz w:val="22"/>
          <w:szCs w:val="22"/>
        </w:rPr>
        <w:t xml:space="preserve">(mouse homolog of the human H63D </w:t>
      </w:r>
      <w:r w:rsidR="003B78EC" w:rsidRPr="003131ED">
        <w:rPr>
          <w:rFonts w:eastAsia="Arial"/>
          <w:i/>
          <w:sz w:val="22"/>
          <w:szCs w:val="22"/>
        </w:rPr>
        <w:t>HFE</w:t>
      </w:r>
      <w:r w:rsidR="003B78EC" w:rsidRPr="003131ED">
        <w:rPr>
          <w:rFonts w:eastAsia="Arial"/>
          <w:sz w:val="22"/>
          <w:szCs w:val="22"/>
        </w:rPr>
        <w:t xml:space="preserve"> variant) C57BL/6J × 129 </w:t>
      </w:r>
      <w:r w:rsidR="00FD2F04" w:rsidRPr="003131ED">
        <w:rPr>
          <w:rFonts w:eastAsia="Arial"/>
          <w:sz w:val="22"/>
          <w:szCs w:val="22"/>
        </w:rPr>
        <w:t xml:space="preserve">mice showed </w:t>
      </w:r>
      <w:r w:rsidR="00A20010" w:rsidRPr="003131ED">
        <w:rPr>
          <w:rFonts w:eastAsia="Arial"/>
          <w:sz w:val="22"/>
          <w:szCs w:val="22"/>
        </w:rPr>
        <w:t>less</w:t>
      </w:r>
      <w:r w:rsidR="00FD2F04" w:rsidRPr="003131ED">
        <w:rPr>
          <w:rFonts w:eastAsia="Arial"/>
          <w:sz w:val="22"/>
          <w:szCs w:val="22"/>
        </w:rPr>
        <w:t xml:space="preserve"> </w:t>
      </w:r>
      <w:r w:rsidR="00FD2F04" w:rsidRPr="003131ED">
        <w:rPr>
          <w:rFonts w:eastAsia="Arial"/>
          <w:sz w:val="22"/>
          <w:szCs w:val="22"/>
        </w:rPr>
        <w:sym w:font="Symbol" w:char="F061"/>
      </w:r>
      <w:r w:rsidR="00FD2F04" w:rsidRPr="003131ED">
        <w:rPr>
          <w:rFonts w:eastAsia="Arial"/>
          <w:sz w:val="22"/>
          <w:szCs w:val="22"/>
        </w:rPr>
        <w:t>-synuclein aggregation</w:t>
      </w:r>
      <w:r w:rsidR="00420911" w:rsidRPr="003131ED">
        <w:rPr>
          <w:rFonts w:eastAsia="Arial"/>
          <w:sz w:val="22"/>
          <w:szCs w:val="22"/>
        </w:rPr>
        <w:t xml:space="preserve"> </w:t>
      </w:r>
      <w:r w:rsidR="00A20010" w:rsidRPr="003131ED">
        <w:rPr>
          <w:rFonts w:eastAsia="Arial"/>
          <w:sz w:val="22"/>
          <w:szCs w:val="22"/>
        </w:rPr>
        <w:t xml:space="preserve">and </w:t>
      </w:r>
      <w:r w:rsidR="00E879C5" w:rsidRPr="003131ED">
        <w:rPr>
          <w:rFonts w:eastAsia="Arial"/>
          <w:sz w:val="22"/>
          <w:szCs w:val="22"/>
        </w:rPr>
        <w:t xml:space="preserve">less decline in </w:t>
      </w:r>
      <w:r w:rsidR="00661462" w:rsidRPr="003131ED">
        <w:rPr>
          <w:rFonts w:eastAsia="Arial"/>
          <w:sz w:val="22"/>
          <w:szCs w:val="22"/>
        </w:rPr>
        <w:t xml:space="preserve">motor function </w:t>
      </w:r>
      <w:r w:rsidR="00420911" w:rsidRPr="003131ED">
        <w:rPr>
          <w:rFonts w:eastAsia="Arial"/>
          <w:sz w:val="22"/>
          <w:szCs w:val="22"/>
        </w:rPr>
        <w:t xml:space="preserve">compared to WT </w:t>
      </w:r>
      <w:r w:rsidR="00420911" w:rsidRPr="003131ED">
        <w:rPr>
          <w:rFonts w:eastAsia="Arial"/>
          <w:i/>
          <w:sz w:val="22"/>
          <w:szCs w:val="22"/>
        </w:rPr>
        <w:t>Hfe</w:t>
      </w:r>
      <w:r w:rsidR="00912431" w:rsidRPr="003131ED">
        <w:rPr>
          <w:rFonts w:eastAsia="Arial"/>
          <w:sz w:val="22"/>
          <w:szCs w:val="22"/>
        </w:rPr>
        <w:t xml:space="preserve">. </w:t>
      </w:r>
      <w:r w:rsidR="007A7226" w:rsidRPr="003131ED">
        <w:rPr>
          <w:rFonts w:eastAsia="Arial"/>
          <w:sz w:val="22"/>
          <w:szCs w:val="22"/>
        </w:rPr>
        <w:t xml:space="preserve">Collectively, </w:t>
      </w:r>
      <w:r w:rsidR="00A63719" w:rsidRPr="003131ED">
        <w:rPr>
          <w:rFonts w:eastAsia="Arial"/>
          <w:sz w:val="22"/>
          <w:szCs w:val="22"/>
        </w:rPr>
        <w:t xml:space="preserve">this study suggests </w:t>
      </w:r>
      <w:r w:rsidR="007A7226" w:rsidRPr="003131ED">
        <w:rPr>
          <w:rFonts w:eastAsia="Arial"/>
          <w:sz w:val="22"/>
          <w:szCs w:val="22"/>
        </w:rPr>
        <w:t xml:space="preserve">that </w:t>
      </w:r>
      <w:r w:rsidRPr="003131ED">
        <w:rPr>
          <w:rFonts w:eastAsia="Arial"/>
          <w:sz w:val="22"/>
          <w:szCs w:val="22"/>
        </w:rPr>
        <w:t xml:space="preserve">H63D </w:t>
      </w:r>
      <w:r w:rsidRPr="003131ED">
        <w:rPr>
          <w:rFonts w:eastAsia="Arial"/>
          <w:i/>
          <w:sz w:val="22"/>
          <w:szCs w:val="22"/>
        </w:rPr>
        <w:t xml:space="preserve">HFE </w:t>
      </w:r>
      <w:r w:rsidRPr="003131ED">
        <w:rPr>
          <w:rFonts w:eastAsia="Arial"/>
          <w:sz w:val="22"/>
          <w:szCs w:val="22"/>
        </w:rPr>
        <w:t>variant</w:t>
      </w:r>
      <w:r w:rsidRPr="003131ED">
        <w:rPr>
          <w:rFonts w:eastAsia="Arial"/>
          <w:i/>
          <w:sz w:val="22"/>
          <w:szCs w:val="22"/>
        </w:rPr>
        <w:t xml:space="preserve"> </w:t>
      </w:r>
      <w:r w:rsidR="000B1DBE" w:rsidRPr="003131ED">
        <w:rPr>
          <w:rFonts w:eastAsia="Arial"/>
          <w:sz w:val="22"/>
          <w:szCs w:val="22"/>
        </w:rPr>
        <w:t>modif</w:t>
      </w:r>
      <w:r w:rsidR="00A63719" w:rsidRPr="003131ED">
        <w:rPr>
          <w:rFonts w:eastAsia="Arial"/>
          <w:sz w:val="22"/>
          <w:szCs w:val="22"/>
        </w:rPr>
        <w:t>ies</w:t>
      </w:r>
      <w:r w:rsidR="000B1DBE" w:rsidRPr="003131ED">
        <w:rPr>
          <w:rFonts w:eastAsia="Arial"/>
          <w:sz w:val="22"/>
          <w:szCs w:val="22"/>
        </w:rPr>
        <w:t xml:space="preserve"> </w:t>
      </w:r>
      <w:r w:rsidRPr="003131ED">
        <w:rPr>
          <w:rFonts w:eastAsia="Arial"/>
          <w:sz w:val="22"/>
          <w:szCs w:val="22"/>
        </w:rPr>
        <w:sym w:font="Symbol" w:char="F061"/>
      </w:r>
      <w:r w:rsidRPr="003131ED">
        <w:rPr>
          <w:rFonts w:eastAsia="Arial"/>
          <w:sz w:val="22"/>
          <w:szCs w:val="22"/>
        </w:rPr>
        <w:t>-syn</w:t>
      </w:r>
      <w:r w:rsidR="00BA208B" w:rsidRPr="003131ED">
        <w:rPr>
          <w:rFonts w:eastAsia="Arial"/>
          <w:sz w:val="22"/>
          <w:szCs w:val="22"/>
        </w:rPr>
        <w:t>uclein</w:t>
      </w:r>
      <w:r w:rsidRPr="003131ED">
        <w:rPr>
          <w:rFonts w:eastAsia="Arial"/>
          <w:sz w:val="22"/>
          <w:szCs w:val="22"/>
        </w:rPr>
        <w:t xml:space="preserve"> pathology through </w:t>
      </w:r>
      <w:r w:rsidR="00A63719" w:rsidRPr="003131ED">
        <w:rPr>
          <w:rFonts w:eastAsia="Arial"/>
          <w:sz w:val="22"/>
          <w:szCs w:val="22"/>
        </w:rPr>
        <w:t xml:space="preserve">the </w:t>
      </w:r>
      <w:r w:rsidR="000B1DBE" w:rsidRPr="003131ED">
        <w:rPr>
          <w:rFonts w:eastAsia="Arial"/>
          <w:sz w:val="22"/>
          <w:szCs w:val="22"/>
        </w:rPr>
        <w:t>induction</w:t>
      </w:r>
      <w:r w:rsidRPr="003131ED">
        <w:rPr>
          <w:rFonts w:eastAsia="Arial"/>
          <w:sz w:val="22"/>
          <w:szCs w:val="22"/>
        </w:rPr>
        <w:t xml:space="preserve"> of autophagy</w:t>
      </w:r>
      <w:r w:rsidR="00A63719" w:rsidRPr="003131ED">
        <w:rPr>
          <w:rFonts w:eastAsia="Arial"/>
          <w:sz w:val="22"/>
          <w:szCs w:val="22"/>
        </w:rPr>
        <w:t xml:space="preserve"> and</w:t>
      </w:r>
      <w:r w:rsidR="00CF70DD" w:rsidRPr="003131ED">
        <w:rPr>
          <w:rFonts w:eastAsia="Arial"/>
          <w:sz w:val="22"/>
          <w:szCs w:val="22"/>
        </w:rPr>
        <w:t xml:space="preserve"> </w:t>
      </w:r>
      <w:r w:rsidRPr="003131ED">
        <w:rPr>
          <w:rFonts w:eastAsia="Arial"/>
          <w:sz w:val="22"/>
          <w:szCs w:val="22"/>
        </w:rPr>
        <w:t xml:space="preserve">has the potential to impact the </w:t>
      </w:r>
      <w:r w:rsidR="00C6483A" w:rsidRPr="003131ED">
        <w:rPr>
          <w:rFonts w:eastAsia="Arial"/>
          <w:sz w:val="22"/>
          <w:szCs w:val="22"/>
        </w:rPr>
        <w:t>pathogenesis and treatment response in</w:t>
      </w:r>
      <w:r w:rsidR="008D01B6" w:rsidRPr="003131ED">
        <w:rPr>
          <w:rFonts w:eastAsia="Arial"/>
          <w:sz w:val="22"/>
          <w:szCs w:val="22"/>
        </w:rPr>
        <w:t xml:space="preserve"> </w:t>
      </w:r>
      <w:r w:rsidRPr="003131ED">
        <w:rPr>
          <w:rFonts w:eastAsia="Arial"/>
          <w:sz w:val="22"/>
          <w:szCs w:val="22"/>
        </w:rPr>
        <w:t>Parkinson’s disease</w:t>
      </w:r>
      <w:r w:rsidR="00C6483A" w:rsidRPr="003131ED">
        <w:rPr>
          <w:rFonts w:eastAsia="Arial"/>
          <w:sz w:val="22"/>
          <w:szCs w:val="22"/>
        </w:rPr>
        <w:t xml:space="preserve">. </w:t>
      </w:r>
    </w:p>
    <w:p w14:paraId="1187D8E1" w14:textId="77777777" w:rsidR="00E1693F" w:rsidRPr="003131ED" w:rsidRDefault="00E1693F" w:rsidP="00D0468C">
      <w:pPr>
        <w:spacing w:line="360" w:lineRule="auto"/>
        <w:jc w:val="both"/>
        <w:rPr>
          <w:rFonts w:eastAsia="Arial"/>
          <w:b/>
          <w:sz w:val="22"/>
          <w:szCs w:val="22"/>
        </w:rPr>
      </w:pPr>
    </w:p>
    <w:p w14:paraId="2A6E35AE" w14:textId="1B4A6EC2" w:rsidR="00600599" w:rsidRPr="003131ED" w:rsidRDefault="00600599" w:rsidP="00D0468C">
      <w:pPr>
        <w:spacing w:line="360" w:lineRule="auto"/>
        <w:jc w:val="both"/>
        <w:rPr>
          <w:rFonts w:eastAsia="Arial"/>
          <w:b/>
        </w:rPr>
      </w:pPr>
      <w:r w:rsidRPr="003131ED">
        <w:rPr>
          <w:rFonts w:eastAsia="Arial"/>
          <w:b/>
        </w:rPr>
        <w:t>Keywords</w:t>
      </w:r>
    </w:p>
    <w:p w14:paraId="60A82D38" w14:textId="0A946CC3" w:rsidR="00E67C81" w:rsidRPr="003131ED" w:rsidRDefault="00600599" w:rsidP="00D0468C">
      <w:pPr>
        <w:spacing w:line="360" w:lineRule="auto"/>
        <w:jc w:val="both"/>
        <w:rPr>
          <w:rFonts w:eastAsia="Arial"/>
          <w:sz w:val="22"/>
          <w:szCs w:val="22"/>
        </w:rPr>
      </w:pPr>
      <w:r w:rsidRPr="003131ED">
        <w:rPr>
          <w:rFonts w:eastAsia="Arial"/>
          <w:sz w:val="22"/>
          <w:szCs w:val="22"/>
        </w:rPr>
        <w:t xml:space="preserve">Parkinson’s disease, </w:t>
      </w:r>
      <w:r w:rsidRPr="003131ED">
        <w:rPr>
          <w:rFonts w:eastAsia="Arial"/>
          <w:sz w:val="22"/>
          <w:szCs w:val="22"/>
        </w:rPr>
        <w:sym w:font="Symbol" w:char="F061"/>
      </w:r>
      <w:r w:rsidRPr="003131ED">
        <w:rPr>
          <w:rFonts w:eastAsia="Arial"/>
          <w:sz w:val="22"/>
          <w:szCs w:val="22"/>
        </w:rPr>
        <w:t>-synuclein, iron, HFE, deferiprone</w:t>
      </w:r>
    </w:p>
    <w:p w14:paraId="7B1D25C4" w14:textId="0417CD7E" w:rsidR="00143D70" w:rsidRPr="003131ED" w:rsidRDefault="00143D70" w:rsidP="00D0468C">
      <w:pPr>
        <w:spacing w:line="360" w:lineRule="auto"/>
        <w:jc w:val="both"/>
        <w:rPr>
          <w:rFonts w:eastAsia="Arial"/>
          <w:sz w:val="22"/>
          <w:szCs w:val="22"/>
        </w:rPr>
      </w:pPr>
    </w:p>
    <w:p w14:paraId="20330A94" w14:textId="7E8F64E2" w:rsidR="007865DF" w:rsidRPr="003131ED" w:rsidRDefault="007865DF" w:rsidP="00D0468C">
      <w:pPr>
        <w:spacing w:line="360" w:lineRule="auto"/>
        <w:jc w:val="both"/>
        <w:rPr>
          <w:rFonts w:eastAsia="Arial"/>
          <w:b/>
        </w:rPr>
      </w:pPr>
      <w:r w:rsidRPr="003131ED">
        <w:rPr>
          <w:rFonts w:eastAsia="Arial"/>
          <w:b/>
        </w:rPr>
        <w:t>Abbreviations</w:t>
      </w:r>
    </w:p>
    <w:p w14:paraId="5E1E1D79" w14:textId="7B333ED0" w:rsidR="007865DF" w:rsidRPr="003131ED" w:rsidRDefault="00F00E23" w:rsidP="00D0468C">
      <w:pPr>
        <w:spacing w:line="360" w:lineRule="auto"/>
        <w:jc w:val="both"/>
        <w:rPr>
          <w:rFonts w:eastAsia="Arial"/>
          <w:sz w:val="22"/>
          <w:szCs w:val="22"/>
        </w:rPr>
      </w:pPr>
      <w:r w:rsidRPr="003131ED">
        <w:rPr>
          <w:rFonts w:eastAsia="Arial"/>
          <w:sz w:val="22"/>
          <w:szCs w:val="22"/>
        </w:rPr>
        <w:t>CTF = corrected total fluorescence, DFP = deferiprone</w:t>
      </w:r>
      <w:r w:rsidR="0098704E" w:rsidRPr="003131ED">
        <w:rPr>
          <w:rFonts w:eastAsia="Arial"/>
          <w:sz w:val="22"/>
          <w:szCs w:val="22"/>
        </w:rPr>
        <w:t>,</w:t>
      </w:r>
      <w:r w:rsidR="00270689" w:rsidRPr="003131ED">
        <w:rPr>
          <w:rFonts w:eastAsia="Arial"/>
          <w:sz w:val="22"/>
          <w:szCs w:val="22"/>
        </w:rPr>
        <w:t xml:space="preserve"> </w:t>
      </w:r>
      <w:r w:rsidRPr="003131ED">
        <w:rPr>
          <w:rFonts w:eastAsia="Arial"/>
          <w:sz w:val="22"/>
          <w:szCs w:val="22"/>
        </w:rPr>
        <w:t xml:space="preserve">IRE = iron response element, IRP = IRE binding protein, </w:t>
      </w:r>
      <w:r w:rsidR="00270689" w:rsidRPr="003131ED">
        <w:rPr>
          <w:rFonts w:eastAsia="Arial"/>
          <w:sz w:val="22"/>
          <w:szCs w:val="22"/>
        </w:rPr>
        <w:t>PFF = pre-formed fibril</w:t>
      </w:r>
      <w:r w:rsidR="006F02CA" w:rsidRPr="003131ED">
        <w:rPr>
          <w:rFonts w:eastAsia="Arial"/>
          <w:sz w:val="22"/>
          <w:szCs w:val="22"/>
        </w:rPr>
        <w:t xml:space="preserve">, </w:t>
      </w:r>
      <w:r w:rsidR="003131ED" w:rsidRPr="000D6212">
        <w:rPr>
          <w:rFonts w:eastAsia="Arial"/>
          <w:sz w:val="22"/>
          <w:szCs w:val="22"/>
          <w:highlight w:val="yellow"/>
        </w:rPr>
        <w:t>RRID = Research Resource Identifier (see scicrunch.org)</w:t>
      </w:r>
      <w:r w:rsidR="003131ED">
        <w:rPr>
          <w:rFonts w:eastAsia="Arial"/>
          <w:sz w:val="22"/>
          <w:szCs w:val="22"/>
        </w:rPr>
        <w:t xml:space="preserve">, </w:t>
      </w:r>
      <w:r w:rsidR="006F02CA" w:rsidRPr="003131ED">
        <w:rPr>
          <w:rFonts w:eastAsia="Arial"/>
          <w:sz w:val="22"/>
          <w:szCs w:val="22"/>
        </w:rPr>
        <w:t>ThS = Thioflavin S, ThT = Thioflavin T</w:t>
      </w:r>
    </w:p>
    <w:p w14:paraId="564DA098" w14:textId="77777777" w:rsidR="006D08C1" w:rsidRPr="003131ED" w:rsidRDefault="006D08C1" w:rsidP="00D0468C">
      <w:pPr>
        <w:spacing w:line="360" w:lineRule="auto"/>
        <w:jc w:val="both"/>
        <w:rPr>
          <w:rFonts w:eastAsia="Arial"/>
          <w:b/>
          <w:sz w:val="22"/>
          <w:szCs w:val="22"/>
        </w:rPr>
      </w:pPr>
    </w:p>
    <w:p w14:paraId="55C25B50" w14:textId="77777777" w:rsidR="00C7543F" w:rsidRPr="003131ED" w:rsidRDefault="00C7543F" w:rsidP="00D0468C">
      <w:pPr>
        <w:spacing w:line="360" w:lineRule="auto"/>
        <w:jc w:val="both"/>
        <w:rPr>
          <w:rFonts w:eastAsia="Arial"/>
          <w:b/>
        </w:rPr>
      </w:pPr>
    </w:p>
    <w:p w14:paraId="5D8A8084" w14:textId="77777777" w:rsidR="00C7543F" w:rsidRPr="003131ED" w:rsidRDefault="00C7543F" w:rsidP="00D0468C">
      <w:pPr>
        <w:spacing w:line="360" w:lineRule="auto"/>
        <w:jc w:val="both"/>
        <w:rPr>
          <w:rFonts w:eastAsia="Arial"/>
          <w:b/>
        </w:rPr>
      </w:pPr>
    </w:p>
    <w:p w14:paraId="0229E367" w14:textId="77777777" w:rsidR="00C7543F" w:rsidRPr="003131ED" w:rsidRDefault="00C7543F" w:rsidP="00D0468C">
      <w:pPr>
        <w:spacing w:line="360" w:lineRule="auto"/>
        <w:jc w:val="both"/>
        <w:rPr>
          <w:rFonts w:eastAsia="Arial"/>
          <w:b/>
        </w:rPr>
      </w:pPr>
    </w:p>
    <w:p w14:paraId="1D2A40AA" w14:textId="77777777" w:rsidR="00C7543F" w:rsidRPr="003131ED" w:rsidRDefault="00C7543F" w:rsidP="00D0468C">
      <w:pPr>
        <w:spacing w:line="360" w:lineRule="auto"/>
        <w:jc w:val="both"/>
        <w:rPr>
          <w:rFonts w:eastAsia="Arial"/>
          <w:b/>
        </w:rPr>
      </w:pPr>
    </w:p>
    <w:p w14:paraId="79704F94" w14:textId="77777777" w:rsidR="00C7543F" w:rsidRPr="003131ED" w:rsidRDefault="00C7543F" w:rsidP="00D0468C">
      <w:pPr>
        <w:spacing w:line="360" w:lineRule="auto"/>
        <w:jc w:val="both"/>
        <w:rPr>
          <w:rFonts w:eastAsia="Arial"/>
          <w:b/>
        </w:rPr>
      </w:pPr>
    </w:p>
    <w:p w14:paraId="333378F6" w14:textId="77777777" w:rsidR="00F00E23" w:rsidRPr="003131ED" w:rsidRDefault="00F00E23" w:rsidP="00D0468C">
      <w:pPr>
        <w:spacing w:line="360" w:lineRule="auto"/>
        <w:jc w:val="both"/>
        <w:rPr>
          <w:rFonts w:eastAsia="Arial"/>
          <w:b/>
        </w:rPr>
      </w:pPr>
    </w:p>
    <w:p w14:paraId="385574FD" w14:textId="7E194D0F" w:rsidR="00143D70" w:rsidRPr="003131ED" w:rsidRDefault="00143D70" w:rsidP="00D0468C">
      <w:pPr>
        <w:spacing w:line="360" w:lineRule="auto"/>
        <w:jc w:val="both"/>
        <w:rPr>
          <w:rFonts w:eastAsia="Arial"/>
          <w:b/>
        </w:rPr>
      </w:pPr>
      <w:r w:rsidRPr="003131ED">
        <w:rPr>
          <w:rFonts w:eastAsia="Arial"/>
          <w:b/>
        </w:rPr>
        <w:lastRenderedPageBreak/>
        <w:t>Introduction</w:t>
      </w:r>
    </w:p>
    <w:p w14:paraId="4175CD73" w14:textId="5C57814D" w:rsidR="00143D70" w:rsidRPr="003131ED" w:rsidRDefault="00143D70" w:rsidP="00D0468C">
      <w:pPr>
        <w:spacing w:line="360" w:lineRule="auto"/>
        <w:jc w:val="both"/>
        <w:rPr>
          <w:sz w:val="22"/>
          <w:szCs w:val="22"/>
        </w:rPr>
      </w:pPr>
      <w:r w:rsidRPr="003131ED">
        <w:rPr>
          <w:sz w:val="22"/>
          <w:szCs w:val="22"/>
        </w:rPr>
        <w:t>Iron accumulation i</w:t>
      </w:r>
      <w:r w:rsidR="00B069B0" w:rsidRPr="003131ED">
        <w:rPr>
          <w:sz w:val="22"/>
          <w:szCs w:val="22"/>
        </w:rPr>
        <w:t>s</w:t>
      </w:r>
      <w:r w:rsidRPr="003131ED">
        <w:rPr>
          <w:sz w:val="22"/>
          <w:szCs w:val="22"/>
        </w:rPr>
        <w:t xml:space="preserve"> a consistent feature of Parkinson’s disease pathology. Multiple post-mortem and MRI based studies have shown that compared to healthy controls, patients with Parkinson’s disease have </w:t>
      </w:r>
      <w:r w:rsidR="00C94842" w:rsidRPr="003131ED">
        <w:rPr>
          <w:sz w:val="22"/>
          <w:szCs w:val="22"/>
        </w:rPr>
        <w:t xml:space="preserve">higher </w:t>
      </w:r>
      <w:r w:rsidRPr="003131ED">
        <w:rPr>
          <w:sz w:val="22"/>
          <w:szCs w:val="22"/>
        </w:rPr>
        <w:t xml:space="preserve">iron in the </w:t>
      </w:r>
      <w:r w:rsidR="00C94842" w:rsidRPr="003131ED">
        <w:rPr>
          <w:sz w:val="22"/>
          <w:szCs w:val="22"/>
        </w:rPr>
        <w:t>basal ganglia</w:t>
      </w:r>
      <w:r w:rsidR="00F30167" w:rsidRPr="003131ED">
        <w:rPr>
          <w:sz w:val="22"/>
          <w:szCs w:val="22"/>
        </w:rPr>
        <w:t xml:space="preserve"> </w:t>
      </w:r>
      <w:r w:rsidR="00F30167" w:rsidRPr="003131ED">
        <w:rPr>
          <w:sz w:val="22"/>
          <w:szCs w:val="22"/>
        </w:rPr>
        <w:fldChar w:fldCharType="begin" w:fldLock="1"/>
      </w:r>
      <w:r w:rsidR="00D86B9A" w:rsidRPr="003131ED">
        <w:rPr>
          <w:sz w:val="22"/>
          <w:szCs w:val="22"/>
        </w:rPr>
        <w:instrText>ADDIN CSL_CITATION {"citationItems":[{"id":"ITEM-1","itemData":{"abstract":"1219 immunogenicity between individual vaccine lots, which might become apparent when borderline immunogenic doses are administered. Low vaccine doses are also more sensitive to loss of potency through inappropriate storage. Several characteristics of the vaccine target population, such as age of the baby, race, and nutritional state, might affect the immune response when reduced doses are used. When dose reduction of hepatitis B vaccines is considered, it is insufficient to measure antibody responses. Controlled efficacy studies comparing the modified and the established vaccine schedules must be done in newborn babies of HBeAg positive mothers. It must also be shown that the chronic HBV carrier state can be prevented before the new schedule is acceptable. The same is true when hepatitis B immunoglobulin is used in reduced dose vaccination schedules. 1. Yvonnet B, Coursaget P, Leboulleux D, et al. Low-dose hepatitis B vaccine immunisation in children. Lancet 1987, i: 169. 2. Lelie PN, Reesink HW, De Jong-van Manen ST, et al. Immunogenicity and safety of plasma-derived heat-inactivated hepatitis B vaccine (CLB): Studies in volunteers at a low risk of infection with hepatitis B virus. Am J Epidemiol 1984; 120: 694-702. 3. Goudeau A, Dubois F, Dubois M-C, Loucq C, Mazert M-C. Immunogenicity of low dose (1 25 and 0 31 &amp;micro;g) hepatitis B vaccine Lancet 1984, ii: 1091-92. 4. Piazza M, Picciotto L, Villan R, et al Hepatitis B immunisation with a reduced number of doses m newborn babies and children. Lancet 1985; i: 949-51. 5. Moyes CD, Milne A, Dimitrakakis M, Goldwater PN, Pearce N. Very-low-dose hepatitis B vaccine in newborn infants: an economic option for control in endemic areas. Lancet 1987; i: 29-31. 6. Wong VCW, Ip HMH, Reesink HW, et al. Prevention of the HBsAg carrier state in newborn infants of mothers who are chronic carriers of HBsAg and HBeAg by administration of hepatitis-B vaccine and hepatitis-B immunoglobulin: Double-blind randomised placebo-controlled study. Lancet 1984; i: 921-26. 7. Beasley RP, Hwang L-Y, Lee GC-Y, et al. Prevention of perinatally transmitted hepatitis B virus infection with hepatitis B immunoglobulin and hepatitis B vaccine.","author":[{"dropping-particle":"","family":"Dexter","given":"D.T.","non-dropping-particle":"","parse-names":false,"suffix":""},{"dropping-particle":"","family":"Wells","given":"F. R.","non-dropping-particle":"","parse-names":false,"suffix":""},{"dropping-particle":"","family":"Agid","given":"F.","non-dropping-particle":"","parse-names":false,"suffix":""},{"dropping-particle":"","family":"Agid","given":"Y.","non-dropping-particle":"","parse-names":false,"suffix":""},{"dropping-particle":"","family":"Lees","given":"A. J.","non-dropping-particle":"","parse-names":false,"suffix":""},{"dropping-particle":"","family":"Jenner","given":"P.","non-dropping-particle":"","parse-names":false,"suffix":""},{"dropping-particle":"","family":"Marsden","given":"C. D.","non-dropping-particle":"","parse-names":false,"suffix":""}],"container-title":"Lancet","id":"ITEM-1","issued":{"date-parts":[["1983"]]},"page":"1099-102","title":"Increased nigral iron content in postmortem Parkinsonian brain","type":"article-journal","volume":"ii"},"uris":["http://www.mendeley.com/documents/?uuid=fa91c25e-9158-3b1f-ad3d-a4ee93304e29"]},{"id":"ITEM-2","itemData":{"DOI":"10.1038/srep36669","ISSN":"2045-2322","author":[{"dropping-particle":"","family":"Wang","given":"Jian-Yong","non-dropping-particle":"","parse-names":false,"suffix":""},{"dropping-particle":"","family":"Zhuang","given":"Qing-Qing","non-dropping-particle":"","parse-names":false,"suffix":""},{"dropping-particle":"","family":"Zhu","given":"Lan-Bing","non-dropping-particle":"","parse-names":false,"suffix":""},{"dropping-particle":"","family":"Zhu","given":"Hui","non-dropping-particle":"","parse-names":false,"suffix":""},{"dropping-particle":"","family":"Li","given":"Ting","non-dropping-particle":"","parse-names":false,"suffix":""},{"dropping-particle":"","family":"Li","given":"Rui","non-dropping-particle":"","parse-names":false,"suffix":""},{"dropping-particle":"","family":"Chen","given":"Song-Fang","non-dropping-particle":"","parse-names":false,"suffix":""},{"dropping-particle":"","family":"Huang","given":"Chen-Ping","non-dropping-particle":"","parse-names":false,"suffix":""},{"dropping-particle":"","family":"Zhang","given":"Xiong","non-dropping-particle":"","parse-names":false,"suffix":""},{"dropping-particle":"","family":"Zhu","given":"Jian-Hong","non-dropping-particle":"","parse-names":false,"suffix":""},{"dropping-particle":"","family":"Dexter","given":"D. T.","non-dropping-particle":"","parse-names":false,"suffix":""},{"dropping-particle":"","family":"Dexter","given":"D. T.","non-dropping-particle":"","parse-names":false,"suffix":""},{"dropping-particle":"","family":"Lewis","given":"M. M.","non-dropping-particle":"","parse-names":false,"suffix":""},{"dropping-particle":"","family":"Riederer","given":"P.","non-dropping-particle":"","parse-names":false,"suffix":""},{"dropping-particle":"","family":"Hardy","given":"P. A.","non-dropping-particle":"","parse-names":false,"suffix":""},{"dropping-particle":"","family":"Langkammer","given":"C.","non-dropping-particle":"","parse-names":false,"suffix":""},{"dropping-particle":"","family":"Ordidge","given":"R. J.","non-dropping-particle":"","parse-names":false,"suffix":""},{"dropping-particle":"","family":"Gorell","given":"J. M.","non-dropping-particle":"","parse-names":false,"suffix":""},{"dropping-particle":"","family":"Deniau","given":"J. C.","non-dropping-particle":"","parse-names":false,"suffix":""},{"dropping-particle":"","family":"Knight","given":"R. A.","non-dropping-particle":"","parse-names":false,"suffix":""},{"dropping-particle":"","family":"Helpern","given":"J. A.","non-dropping-particle":"","parse-names":false,"suffix":""},{"dropping-particle":"","family":"Pyatigorskaya","given":"N.","non-dropping-particle":"","parse-names":false,"suffix":""},{"dropping-particle":"","family":"Gallea","given":"C.","non-dropping-particle":"","parse-names":false,"suffix":""},{"dropping-particle":"","family":"Garcia-Lorenzo","given":"D.","non-dropping-particle":"","parse-names":false,"suffix":""},{"dropping-particle":"","family":"Vidailhet","given":"M.","non-dropping-particle":"","parse-names":false,"suffix":""},{"dropping-particle":"","family":"Lehericy","given":"S.","non-dropping-particle":"","parse-names":false,"suffix":""},{"dropping-particle":"","family":"Chen","given":"J. C.","non-dropping-particle":"","parse-names":false,"suffix":""},{"dropping-particle":"","family":"Galazka-Friedman","given":"J.","non-dropping-particle":"","parse-names":false,"suffix":""},{"dropping-particle":"","family":"Griffiths","given":"P. D.","non-dropping-particle":"","parse-names":false,"suffix":""},{"dropping-particle":"","family":"Crossman","given":"A. R.","non-dropping-particle":"","parse-names":false,"suffix":""},{"dropping-particle":"","family":"Loeffler","given":"D. A.","non-dropping-particle":"","parse-names":false,"suffix":""},{"dropping-particle":"","family":"Sofic","given":"E.","non-dropping-particle":"","parse-names":false,"suffix":""},{"dropping-particle":"","family":"Uitti","given":"R. J.","non-dropping-particle":"","parse-names":false,"suffix":""},{"dropping-particle":"","family":"Visanji","given":"N. P.","non-dropping-particle":"","parse-names":false,"suffix":""},{"dropping-particle":"","family":"Wypijewska","given":"A.","non-dropping-particle":"","parse-names":false,"suffix":""},{"dropping-particle":"","family":"Yu","given":"X.","non-dropping-particle":"","parse-names":false,"suffix":""},{"dropping-particle":"","family":"Gorell","given":"J. M.","non-dropping-particle":"","parse-names":false,"suffix":""},{"dropping-particle":"","family":"Graham","given":"J. M.","non-dropping-particle":"","parse-names":false,"suffix":""},{"dropping-particle":"","family":"Paley","given":"M. N.","non-dropping-particle":"","parse-names":false,"suffix":""},{"dropping-particle":"","family":"Grunewald","given":"R. A.","non-dropping-particle":"","parse-names":false,"suffix":""},{"dropping-particle":"","family":"Hoggard","given":"N.","non-dropping-particle":"","parse-names":false,"suffix":""},{"dropping-particle":"","family":"Griffiths","given":"P. D.","non-dropping-particle":"","parse-names":false,"suffix":""},{"dropping-particle":"","family":"Martin","given":"W. R. W.","non-dropping-particle":"","parse-names":false,"suffix":""},{"dropping-particle":"","family":"Wieler","given":"M.","non-dropping-particle":"","parse-names":false,"suffix":""},{"dropping-particle":"","family":"Gee","given":"M.","non-dropping-particle":"","parse-names":false,"suffix":""},{"dropping-particle":"","family":"Du","given":"G.","non-dropping-particle":"","parse-names":false,"suffix":""},{"dropping-particle":"","family":"Bunzeck","given":"N.","non-dropping-particle":"","parse-names":false,"suffix":""},{"dropping-particle":"","family":"Lee","given":"M. F.","non-dropping-particle":"","parse-names":false,"suffix":""},{"dropping-particle":"","family":"Rossi","given":"M.","non-dropping-particle":"","parse-names":false,"suffix":""},{"dropping-particle":"","family":"Ruottinen","given":"H.","non-dropping-particle":"","parse-names":false,"suffix":""},{"dropping-particle":"","family":"Soimakallio","given":"S.","non-dropping-particle":"","parse-names":false,"suffix":""},{"dropping-particle":"","family":"Elovaara","given":"I.","non-dropping-particle":"","parse-names":false,"suffix":""},{"dropping-particle":"","family":"Dastidar","given":"P.","non-dropping-particle":"","parse-names":false,"suffix":""},{"dropping-particle":"","family":"Ulla","given":"M.","non-dropping-particle":"","parse-names":false,"suffix":""},{"dropping-particle":"","family":"Rossi","given":"M. E.","non-dropping-particle":"","parse-names":false,"suffix":""},{"dropping-particle":"","family":"Ruottinen","given":"H.","non-dropping-particle":"","parse-names":false,"suffix":""},{"dropping-particle":"","family":"Saunamaki","given":"T.","non-dropping-particle":"","parse-names":false,"suffix":""},{"dropping-particle":"","family":"Elovaara","given":"I.","non-dropping-particle":"","parse-names":false,"suffix":""},{"dropping-particle":"","family":"Dastidar","given":"P.","non-dropping-particle":"","parse-names":false,"suffix":""},{"dropping-particle":"","family":"Barbosa","given":"J. H. O.","non-dropping-particle":"","parse-names":false,"suffix":""},{"dropping-particle":"","family":"Du","given":"G.","non-dropping-particle":"","parse-names":false,"suffix":""},{"dropping-particle":"","family":"He","given":"N.","non-dropping-particle":"","parse-names":false,"suffix":""},{"dropping-particle":"","family":"Murakami","given":"Y.","non-dropping-particle":"","parse-names":false,"suffix":""},{"dropping-particle":"","family":"Han","given":"Y. H.","non-dropping-particle":"","parse-names":false,"suffix":""},{"dropping-particle":"","family":"Wang","given":"C.","non-dropping-particle":"","parse-names":false,"suffix":""},{"dropping-particle":"","family":"Wu","given":"S. F.","non-dropping-particle":"","parse-names":false,"suffix":""},{"dropping-particle":"","family":"Zhang","given":"J.","non-dropping-particle":"","parse-names":false,"suffix":""},{"dropping-particle":"","family":"Jin","given":"L.","non-dropping-particle":"","parse-names":false,"suffix":""},{"dropping-particle":"","family":"Kim","given":"T. H.","non-dropping-particle":"","parse-names":false,"suffix":""},{"dropping-particle":"","family":"Lee","given":"J. H.","non-dropping-particle":"","parse-names":false,"suffix":""},{"dropping-particle":"","family":"Wang","given":"Y.","non-dropping-particle":"","parse-names":false,"suffix":""},{"dropping-particle":"","family":"Huang","given":"X. M.","non-dropping-particle":"","parse-names":false,"suffix":""},{"dropping-particle":"","family":"Sun","given":"B.","non-dropping-particle":"","parse-names":false,"suffix":""},{"dropping-particle":"","family":"Xue","given":"Y. J.","non-dropping-particle":"","parse-names":false,"suffix":""},{"dropping-particle":"","family":"Duan","given":"Q.","non-dropping-particle":"","parse-names":false,"suffix":""},{"dropping-particle":"","family":"Manor","given":"O.","non-dropping-particle":"","parse-names":false,"suffix":""},{"dropping-particle":"","family":"Zucker","given":"D. M.","non-dropping-particle":"","parse-names":false,"suffix":""},{"dropping-particle":"","family":"Ward","given":"R. J.","non-dropping-particle":"","parse-names":false,"suffix":""},{"dropping-particle":"","family":"Zucca","given":"F. A.","non-dropping-particle":"","parse-names":false,"suffix":""},{"dropping-particle":"","family":"Duyn","given":"J. H.","non-dropping-particle":"","parse-names":false,"suffix":""},{"dropping-particle":"","family":"Crichton","given":"R. R.","non-dropping-particle":"","parse-names":false,"suffix":""},{"dropping-particle":"","family":"Zecca","given":"L.","non-dropping-particle":"","parse-names":false,"suffix":""},{"dropping-particle":"","family":"Biasiotto","given":"G.","non-dropping-particle":"","parse-names":false,"suffix":""},{"dropping-particle":"Di","family":"Lorenzo","given":"D.","non-dropping-particle":"","parse-names":false,"suffix":""},{"dropping-particle":"","family":"Archetti","given":"S.","non-dropping-particle":"","parse-names":false,"suffix":""},{"dropping-particle":"","family":"Zanella","given":"I.","non-dropping-particle":"","parse-names":false,"suffix":""},{"dropping-particle":"","family":"Oshiro","given":"S.","non-dropping-particle":"","parse-names":false,"suffix":""},{"dropping-particle":"","family":"Morioka","given":"M. S.","non-dropping-particle":"","parse-names":false,"suffix":""},{"dropping-particle":"","family":"Kikuchi","given":"M.","non-dropping-particle":"","parse-names":false,"suffix":""},{"dropping-particle":"","family":"Perry","given":"G.","non-dropping-particle":"","parse-names":false,"suffix":""},{"dropping-particle":"","family":"Sayre","given":"L. M.","non-dropping-particle":"","parse-names":false,"suffix":""},{"dropping-particle":"","family":"Perry","given":"G.","non-dropping-particle":"","parse-names":false,"suffix":""},{"dropping-particle":"","family":"Atwood","given":"C. S.","non-dropping-particle":"","parse-names":false,"suffix":""},{"dropping-particle":"","family":"Smith","given":"M. A.","non-dropping-particle":"","parse-names":false,"suffix":""},{"dropping-particle":"","family":"Zecca","given":"L.","non-dropping-particle":"","parse-names":false,"suffix":""},{"dropping-particle":"","family":"Youdim","given":"M. B.","non-dropping-particle":"","parse-names":false,"suffix":""},{"dropping-particle":"","family":"Riederer","given":"P.","non-dropping-particle":"","parse-names":false,"suffix":""},{"dropping-particle":"","family":"Connor","given":"J. R.","non-dropping-particle":"","parse-names":false,"suffix":""},{"dropping-particle":"","family":"Crichton","given":"R. R.","non-dropping-particle":"","parse-names":false,"suffix":""},{"dropping-particle":"","family":"Daugherty","given":"A.","non-dropping-particle":"","parse-names":false,"suffix":""},{"dropping-particle":"","family":"Raz","given":"N.","non-dropping-particle":"","parse-names":false,"suffix":""},{"dropping-particle":"","family":"Hadzhieva","given":"M.","non-dropping-particle":"","parse-names":false,"suffix":""},{"dropping-particle":"","family":"Kirches","given":"E.","non-dropping-particle":"","parse-names":false,"suffix":""},{"dropping-particle":"","family":"Mawrin","given":"C.","non-dropping-particle":"","parse-names":false,"suffix":""},{"dropping-particle":"","family":"Ben-Shachar","given":"D.","non-dropping-particle":"","parse-names":false,"suffix":""},{"dropping-particle":"","family":"Riederer","given":"P.","non-dropping-particle":"","parse-names":false,"suffix":""},{"dropping-particle":"","family":"Youdim","given":"M. B.","non-dropping-particle":"","parse-names":false,"suffix":""},{"dropping-particle":"","family":"Jellinger","given":"K.","non-dropping-particle":"","parse-names":false,"suffix":""},{"dropping-particle":"","family":"Paulus","given":"W.","non-dropping-particle":"","parse-names":false,"suffix":""},{"dropping-particle":"","family":"Grundke-Iqbal","given":"I.","non-dropping-particle":"","parse-names":false,"suffix":""},{"dropping-particle":"","family":"Riederer","given":"P.","non-dropping-particle":"","parse-names":false,"suffix":""},{"dropping-particle":"","family":"Youdim","given":"M. B.","non-dropping-particle":"","parse-names":false,"suffix":""},{"dropping-particle":"","family":"Wolozin","given":"B.","non-dropping-particle":"","parse-names":false,"suffix":""},{"dropping-particle":"","family":"Golts","given":"N.","non-dropping-particle":"","parse-names":false,"suffix":""},{"dropping-particle":"","family":"Kish","given":"S. J.","non-dropping-particle":"","parse-names":false,"suffix":""},{"dropping-particle":"","family":"Shannak","given":"K.","non-dropping-particle":"","parse-names":false,"suffix":""},{"dropping-particle":"","family":"Hornykiewicz","given":"O.","non-dropping-particle":"","parse-names":false,"suffix":""},{"dropping-particle":"","family":"Ogg","given":"R. J.","non-dropping-particle":"","parse-names":false,"suffix":""},{"dropping-particle":"","family":"Langston","given":"J. W.","non-dropping-particle":"","parse-names":false,"suffix":""},{"dropping-particle":"","family":"Haacke","given":"E. M.","non-dropping-particle":"","parse-names":false,"suffix":""},{"dropping-particle":"","family":"Steen","given":"R. G.","non-dropping-particle":"","parse-names":false,"suffix":""},{"dropping-particle":"","family":"Taylor","given":"J. S.","non-dropping-particle":"","parse-names":false,"suffix":""},{"dropping-particle":"","family":"Naderi","given":"S.","non-dropping-particle":"","parse-names":false,"suffix":""},{"dropping-particle":"","family":"Colakoglu","given":"Z.","non-dropping-particle":"","parse-names":false,"suffix":""},{"dropping-particle":"","family":"Luleci","given":"G.","non-dropping-particle":"","parse-names":false,"suffix":""},{"dropping-particle":"","family":"He","given":"X.","non-dropping-particle":"","parse-names":false,"suffix":""},{"dropping-particle":"","family":"Yablonskiy","given":"D. A.","non-dropping-particle":"","parse-names":false,"suffix":""},{"dropping-particle":"","family":"Liu","given":"C.","non-dropping-particle":"","parse-names":false,"suffix":""},{"dropping-particle":"","family":"Li","given":"W.","non-dropping-particle":"","parse-names":false,"suffix":""},{"dropping-particle":"","family":"Tong","given":"K. A.","non-dropping-particle":"","parse-names":false,"suffix":""},{"dropping-particle":"","family":"Yeom","given":"K. W.","non-dropping-particle":"","parse-names":false,"suffix":""},{"dropping-particle":"","family":"Kuzminski","given":"S.","non-dropping-particle":"","parse-names":false,"suffix":""},{"dropping-particle":"","family":"Anderson","given":"C. M.","non-dropping-particle":"","parse-names":false,"suffix":""},{"dropping-particle":"","family":"Penke","given":"L.","non-dropping-particle":"","parse-names":false,"suffix":""},{"dropping-particle":"","family":"Drayer","given":"B.","non-dropping-particle":"","parse-names":false,"suffix":""},{"dropping-particle":"","family":"Guan","given":"X.","non-dropping-particle":"","parse-names":false,"suffix":""},{"dropping-particle":"","family":"Schrag","given":"M.","non-dropping-particle":"","parse-names":false,"suffix":""},{"dropping-particle":"","family":"Mueller","given":"C.","non-dropping-particle":"","parse-names":false,"suffix":""},{"dropping-particle":"","family":"Oyoyo","given":"U.","non-dropping-particle":"","parse-names":false,"suffix":""},{"dropping-particle":"","family":"Smith","given":"M. A.","non-dropping-particle":"","parse-names":false,"suffix":""},{"dropping-particle":"","family":"Kirsch","given":"W. M.","non-dropping-particle":"","parse-names":false,"suffix":""},{"dropping-particle":"","family":"House","given":"M. J.","non-dropping-particle":"","parse-names":false,"suffix":""},{"dropping-particle":"","family":"Yablonskiy","given":"D. A.","non-dropping-particle":"","parse-names":false,"suffix":""},{"dropping-particle":"","family":"Haacke","given":"E. M.","non-dropping-particle":"","parse-names":false,"suffix":""},{"dropping-particle":"","family":"Stang","given":"A.","non-dropping-particle":"","parse-names":false,"suffix":""},{"dropping-particle":"","family":"Cochran","given":"W. G.","non-dropping-particle":"","parse-names":false,"suffix":""},{"dropping-particle":"","family":"Higgins","given":"J. P. T.","non-dropping-particle":"","parse-names":false,"suffix":""},{"dropping-particle":"","family":"Thompson","given":"S. G.","non-dropping-particle":"","parse-names":false,"suffix":""},{"dropping-particle":"","family":"Calne","given":"D. B.","non-dropping-particle":"","parse-names":false,"suffix":""},{"dropping-particle":"","family":"Snow","given":"B. J.","non-dropping-particle":"","parse-names":false,"suffix":""},{"dropping-particle":"","family":"Lee","given":"C.","non-dropping-particle":"","parse-names":false,"suffix":""},{"dropping-particle":"","family":"Hughes","given":"A. J.","non-dropping-particle":"","parse-names":false,"suffix":""},{"dropping-particle":"","family":"Daniel","given":"S. E.","non-dropping-particle":"","parse-names":false,"suffix":""},{"dropping-particle":"","family":"Blankson","given":"S.","non-dropping-particle":"","parse-names":false,"suffix":""},{"dropping-particle":"","family":"Lees","given":"A. J.","non-dropping-particle":"","parse-names":false,"suffix":""},{"dropping-particle":"","family":"Gibb","given":"W. R.","non-dropping-particle":"","parse-names":false,"suffix":""},{"dropping-particle":"","family":"Lees","given":"A. J.","non-dropping-particle":"","parse-names":false,"suffix":""}],"container-title":"Scientific Reports","id":"ITEM-2","issue":"November","issued":{"date-parts":[["2016"]]},"page":"36669","publisher":"Nature Publishing Group","title":"Meta-analysis of brain iron levels of Parkinson’s disease patients determined by postmortem and MRI measurements","type":"article-journal","volume":"6"},"uris":["http://www.mendeley.com/documents/?uuid=5be207a5-e6bb-4876-9cc1-90685043a7be"]},{"id":"ITEM-3","itemData":{"DOI":"10.1093/brain/114.4.1953","ISSN":"0006-8950","author":[{"dropping-particle":"","family":"Dexter","given":"D.T.","non-dropping-particle":"","parse-names":false,"suffix":""},{"dropping-particle":"","family":"Carayon","given":"A.","non-dropping-particle":"","parse-names":false,"suffix":""},{"dropping-particle":"","family":"Javoy-Agid","given":"F.","non-dropping-particle":"","parse-names":false,"suffix":""},{"dropping-particle":"","family":"Agid","given":"Y.","non-dropping-particle":"","parse-names":false,"suffix":""},{"dropping-particle":"","family":"Wells","given":"F. R.","non-dropping-particle":"","parse-names":false,"suffix":""},{"dropping-particle":"","family":"Daniel","given":"S. E","non-dropping-particle":"","parse-names":false,"suffix":""},{"dropping-particle":"","family":"Lees","given":"A. J.","non-dropping-particle":"","parse-names":false,"suffix":""},{"dropping-particle":"","family":"Jenner","given":"P.","non-dropping-particle":"","parse-names":false,"suffix":""},{"dropping-particle":"","family":"Marsden","given":"C. D.","non-dropping-particle":"","parse-names":false,"suffix":""}],"container-title":"Brain","id":"ITEM-3","issue":"4","issued":{"date-parts":[["1991","8","1"]]},"page":"1953-1975","publisher":"Narnia","title":"Alterations in the levels of iron, ferritin and other trace metals in Parkinson's disease and other neurodegenerative diseases affecting the basal ganglia","type":"article-journal","volume":"114"},"uris":["http://www.mendeley.com/documents/?uuid=806e9ce7-2468-3eea-bf7b-e703a1d59fe8"]},{"id":"ITEM-4","itemData":{"ISSN":"0195-6108","PMID":"8456699","abstract":"PURPOSE To test the hypothesis that the T2 shortening observed on MR images of the brain in patients with Parkinson and Huntington diseases is due to tissue iron deposition. METHODS Tissue iron and ferritin assays were performed on postmortem putamen and globus pallidus samples from subjects with Huntington and Parkinson disease. The assays were correlated with T2 measurements. Normal samples were included as controls. RESULTS There were significant differences in T2 values, and iron and ferritin concentrations among the putamen samples. Compared with normal controls, subjects with Huntington disease had approximately a threefold increase in iron and a sixfold increase in ferritin concentrations; however, they also had the longest T2 values. Parkinson disease putamens had milder elevations of iron concentrations above that of controls (33%) and demonstrated slightly shorter T2 values. The globus pallidus samples demonstrated a similar trend in their T2s, iron, and ferritin levels, but there was a larger overlap in the T2 values. CONCLUSIONS Our results indicate that tissue iron and ferritin concentrations are elevated in the brains of subjects with both Parkinson and Huntington disease but the elevated concentrations do not correlate with T2 shortening. Although iron and ferritin can shorten T2, we conclude that other factors must play a significant role in determining the T2 relaxation time and that iron or ferritin are not dominant in this regard.","author":[{"dropping-particle":"","family":"Chen","given":"J C","non-dropping-particle":"","parse-names":false,"suffix":""},{"dropping-particle":"","family":"Hardy","given":"P A","non-dropping-particle":"","parse-names":false,"suffix":""},{"dropping-particle":"","family":"Kucharczyk","given":"W","non-dropping-particle":"","parse-names":false,"suffix":""},{"dropping-particle":"","family":"Clauberg","given":"M","non-dropping-particle":"","parse-names":false,"suffix":""},{"dropping-particle":"","family":"Joshi","given":"J G","non-dropping-particle":"","parse-names":false,"suffix":""},{"dropping-particle":"","family":"Vourlas","given":"A","non-dropping-particle":"","parse-names":false,"suffix":""},{"dropping-particle":"","family":"Dhar","given":"M","non-dropping-particle":"","parse-names":false,"suffix":""},{"dropping-particle":"","family":"Henkelman","given":"R M","non-dropping-particle":"","parse-names":false,"suffix":""}],"container-title":"AJNR. American journal of neuroradiology","id":"ITEM-4","issue":"2","issued":{"date-parts":[["1993"]]},"page":"275-81","title":"MR of human postmortem brain tissue: correlative study between T2 and assays of iron and ferritin in Parkinson and Huntington disease.","type":"article-journal","volume":"14"},"uris":["http://www.mendeley.com/documents/?uuid=56fdd8db-fee5-3559-b939-74ad56252a0c"]}],"mendeley":{"formattedCitation":"(Dexter &lt;i&gt;et al.&lt;/i&gt; 1983; Wang &lt;i&gt;et al.&lt;/i&gt; 2016; Dexter &lt;i&gt;et al.&lt;/i&gt; 1991; Chen &lt;i&gt;et al.&lt;/i&gt; 1993)","plainTextFormattedCitation":"(Dexter et al. 1983; Wang et al. 2016; Dexter et al. 1991; Chen et al. 1993)","previouslyFormattedCitation":"(Dexter &lt;i&gt;et al.&lt;/i&gt; 1983; Wang &lt;i&gt;et al.&lt;/i&gt; 2016; Dexter &lt;i&gt;et al.&lt;/i&gt; 1991; Chen &lt;i&gt;et al.&lt;/i&gt; 1993)"},"properties":{"noteIndex":0},"schema":"https://github.com/citation-style-language/schema/raw/master/csl-citation.json"}</w:instrText>
      </w:r>
      <w:r w:rsidR="00F30167" w:rsidRPr="003131ED">
        <w:rPr>
          <w:sz w:val="22"/>
          <w:szCs w:val="22"/>
        </w:rPr>
        <w:fldChar w:fldCharType="separate"/>
      </w:r>
      <w:r w:rsidR="00D86B9A" w:rsidRPr="003131ED">
        <w:rPr>
          <w:noProof/>
          <w:sz w:val="22"/>
          <w:szCs w:val="22"/>
        </w:rPr>
        <w:t xml:space="preserve">(Dexter </w:t>
      </w:r>
      <w:r w:rsidR="00D86B9A" w:rsidRPr="003131ED">
        <w:rPr>
          <w:i/>
          <w:noProof/>
          <w:sz w:val="22"/>
          <w:szCs w:val="22"/>
        </w:rPr>
        <w:t>et al.</w:t>
      </w:r>
      <w:r w:rsidR="00D86B9A" w:rsidRPr="003131ED">
        <w:rPr>
          <w:noProof/>
          <w:sz w:val="22"/>
          <w:szCs w:val="22"/>
        </w:rPr>
        <w:t xml:space="preserve"> 1983; Wang </w:t>
      </w:r>
      <w:r w:rsidR="00D86B9A" w:rsidRPr="003131ED">
        <w:rPr>
          <w:i/>
          <w:noProof/>
          <w:sz w:val="22"/>
          <w:szCs w:val="22"/>
        </w:rPr>
        <w:t>et al.</w:t>
      </w:r>
      <w:r w:rsidR="00D86B9A" w:rsidRPr="003131ED">
        <w:rPr>
          <w:noProof/>
          <w:sz w:val="22"/>
          <w:szCs w:val="22"/>
        </w:rPr>
        <w:t xml:space="preserve"> 2016; Dexter </w:t>
      </w:r>
      <w:r w:rsidR="00D86B9A" w:rsidRPr="003131ED">
        <w:rPr>
          <w:i/>
          <w:noProof/>
          <w:sz w:val="22"/>
          <w:szCs w:val="22"/>
        </w:rPr>
        <w:t>et al.</w:t>
      </w:r>
      <w:r w:rsidR="00D86B9A" w:rsidRPr="003131ED">
        <w:rPr>
          <w:noProof/>
          <w:sz w:val="22"/>
          <w:szCs w:val="22"/>
        </w:rPr>
        <w:t xml:space="preserve"> 1991; Chen </w:t>
      </w:r>
      <w:r w:rsidR="00D86B9A" w:rsidRPr="003131ED">
        <w:rPr>
          <w:i/>
          <w:noProof/>
          <w:sz w:val="22"/>
          <w:szCs w:val="22"/>
        </w:rPr>
        <w:t>et al.</w:t>
      </w:r>
      <w:r w:rsidR="00D86B9A" w:rsidRPr="003131ED">
        <w:rPr>
          <w:noProof/>
          <w:sz w:val="22"/>
          <w:szCs w:val="22"/>
        </w:rPr>
        <w:t xml:space="preserve"> 1993)</w:t>
      </w:r>
      <w:r w:rsidR="00F30167" w:rsidRPr="003131ED">
        <w:rPr>
          <w:sz w:val="22"/>
          <w:szCs w:val="22"/>
        </w:rPr>
        <w:fldChar w:fldCharType="end"/>
      </w:r>
      <w:r w:rsidRPr="003131ED">
        <w:rPr>
          <w:sz w:val="22"/>
          <w:szCs w:val="22"/>
        </w:rPr>
        <w:t>. Iron is an important cofactor for many cellular processes and its intracellular concentration is tightly regulated due to potential production of reactive oxygen species (ROS)</w:t>
      </w:r>
      <w:r w:rsidR="00383E1E" w:rsidRPr="003131ED">
        <w:rPr>
          <w:sz w:val="22"/>
          <w:szCs w:val="22"/>
        </w:rPr>
        <w:t xml:space="preserve"> through the Fenton reaction</w:t>
      </w:r>
      <w:r w:rsidR="00C17C19" w:rsidRPr="003131ED">
        <w:rPr>
          <w:sz w:val="22"/>
          <w:szCs w:val="22"/>
        </w:rPr>
        <w:t xml:space="preserve"> </w:t>
      </w:r>
      <w:r w:rsidR="00E560AD" w:rsidRPr="003131ED">
        <w:rPr>
          <w:sz w:val="22"/>
          <w:szCs w:val="22"/>
        </w:rPr>
        <w:fldChar w:fldCharType="begin" w:fldLock="1"/>
      </w:r>
      <w:r w:rsidR="00D86B9A" w:rsidRPr="003131ED">
        <w:rPr>
          <w:sz w:val="22"/>
          <w:szCs w:val="22"/>
        </w:rPr>
        <w:instrText>ADDIN CSL_CITATION {"citationItems":[{"id":"ITEM-1","itemData":{"DOI":"10.1016/0378-4274(95)03532-X","ISSN":"03784274","abstract":"Iron and hydrogen peroxide are capable of oxidizing a wide range of substrates and causing biological damage. The reaction, referred to as the Fenton reaction, is complex and capable of generating both hydroxyl radicals and higher oxidation states of the iron. The mechanism and how it is affected by different chelators, and the interpretation of results obtained in biological systems, are discussed.","author":[{"dropping-particle":"","family":"Winterbourn","given":"Christine C.","non-dropping-particle":"","parse-names":false,"suffix":""}],"container-title":"Toxicology Letters","id":"ITEM-1","issued":{"date-parts":[["1995","12","1"]]},"page":"969-974","publisher":"Elsevier","title":"Toxicity of iron and hydrogen peroxide: the Fenton reaction","type":"article-journal","volume":"82-83"},"uris":["http://www.mendeley.com/documents/?uuid=40a94048-971f-3c20-84bc-7ace4cb5dafc"]},{"id":"ITEM-2","itemData":{"DOI":"10.1111/j.1753-4887.1996.tb03794.x","ISSN":"0029-6643","PMID":"9063021","abstract":"Despite its abundance in the earth's crust, iron deficiency is a serious health issue in many parts of the world. Although fundamental observations about iron metabolism and the significance of iron nutriture were first noted some time ago, the molecular mechanisms involved in iron metabolism are just now being defined.","author":[{"dropping-particle":"","family":"Beard","given":"John L.","non-dropping-particle":"","parse-names":false,"suffix":""},{"dropping-particle":"","family":"Dawson","given":"Harry","non-dropping-particle":"","parse-names":false,"suffix":""},{"dropping-particle":"","family":"Piñero","given":"Domingo J.","non-dropping-particle":"","parse-names":false,"suffix":""}],"container-title":"Nutrition reviews","id":"ITEM-2","issue":"10","issued":{"date-parts":[["1996","10","27"]]},"page":"295-317","title":"Iron metabolism: a comprehensive review.","type":"article-journal","volume":"54"},"uris":["http://www.mendeley.com/documents/?uuid=94d03ac2-8332-33a2-9afd-955a19ba2382"]}],"mendeley":{"formattedCitation":"(Winterbourn 1995; Beard &lt;i&gt;et al.&lt;/i&gt; 1996)","plainTextFormattedCitation":"(Winterbourn 1995; Beard et al. 1996)","previouslyFormattedCitation":"(Winterbourn 1995; Beard &lt;i&gt;et al.&lt;/i&gt; 1996)"},"properties":{"noteIndex":0},"schema":"https://github.com/citation-style-language/schema/raw/master/csl-citation.json"}</w:instrText>
      </w:r>
      <w:r w:rsidR="00E560AD" w:rsidRPr="003131ED">
        <w:rPr>
          <w:sz w:val="22"/>
          <w:szCs w:val="22"/>
        </w:rPr>
        <w:fldChar w:fldCharType="separate"/>
      </w:r>
      <w:r w:rsidR="00D86B9A" w:rsidRPr="003131ED">
        <w:rPr>
          <w:noProof/>
          <w:sz w:val="22"/>
          <w:szCs w:val="22"/>
        </w:rPr>
        <w:t xml:space="preserve">(Winterbourn 1995; Beard </w:t>
      </w:r>
      <w:r w:rsidR="00D86B9A" w:rsidRPr="003131ED">
        <w:rPr>
          <w:i/>
          <w:noProof/>
          <w:sz w:val="22"/>
          <w:szCs w:val="22"/>
        </w:rPr>
        <w:t>et al.</w:t>
      </w:r>
      <w:r w:rsidR="00D86B9A" w:rsidRPr="003131ED">
        <w:rPr>
          <w:noProof/>
          <w:sz w:val="22"/>
          <w:szCs w:val="22"/>
        </w:rPr>
        <w:t xml:space="preserve"> 1996)</w:t>
      </w:r>
      <w:r w:rsidR="00E560AD" w:rsidRPr="003131ED">
        <w:rPr>
          <w:sz w:val="22"/>
          <w:szCs w:val="22"/>
        </w:rPr>
        <w:fldChar w:fldCharType="end"/>
      </w:r>
      <w:r w:rsidRPr="003131ED">
        <w:rPr>
          <w:sz w:val="22"/>
          <w:szCs w:val="22"/>
        </w:rPr>
        <w:t xml:space="preserve">. </w:t>
      </w:r>
      <w:r w:rsidR="00E560AD" w:rsidRPr="003131ED">
        <w:rPr>
          <w:sz w:val="22"/>
          <w:szCs w:val="22"/>
        </w:rPr>
        <w:t>In Parkinson’s disease, e</w:t>
      </w:r>
      <w:r w:rsidRPr="003131ED">
        <w:rPr>
          <w:sz w:val="22"/>
          <w:szCs w:val="22"/>
        </w:rPr>
        <w:t>xcess i</w:t>
      </w:r>
      <w:r w:rsidR="00E560AD" w:rsidRPr="003131ED">
        <w:rPr>
          <w:sz w:val="22"/>
          <w:szCs w:val="22"/>
        </w:rPr>
        <w:t xml:space="preserve">ron is thought to contribute to </w:t>
      </w:r>
      <w:r w:rsidRPr="003131ED">
        <w:rPr>
          <w:sz w:val="22"/>
          <w:szCs w:val="22"/>
        </w:rPr>
        <w:t xml:space="preserve">increased expression and aggregation of </w:t>
      </w:r>
      <w:r w:rsidRPr="003131ED">
        <w:rPr>
          <w:sz w:val="22"/>
          <w:szCs w:val="22"/>
        </w:rPr>
        <w:sym w:font="Symbol" w:char="F061"/>
      </w:r>
      <w:r w:rsidRPr="003131ED">
        <w:rPr>
          <w:sz w:val="22"/>
          <w:szCs w:val="22"/>
        </w:rPr>
        <w:t>-synuclein, the main protein</w:t>
      </w:r>
      <w:r w:rsidR="00E560AD" w:rsidRPr="003131ED">
        <w:rPr>
          <w:sz w:val="22"/>
          <w:szCs w:val="22"/>
        </w:rPr>
        <w:t xml:space="preserve"> component of Lewy bodies </w:t>
      </w:r>
      <w:r w:rsidR="003D4D20" w:rsidRPr="003131ED">
        <w:rPr>
          <w:sz w:val="22"/>
          <w:szCs w:val="22"/>
        </w:rPr>
        <w:fldChar w:fldCharType="begin" w:fldLock="1"/>
      </w:r>
      <w:r w:rsidR="00D86B9A" w:rsidRPr="003131ED">
        <w:rPr>
          <w:sz w:val="22"/>
          <w:szCs w:val="22"/>
        </w:rPr>
        <w:instrText>ADDIN CSL_CITATION {"citationItems":[{"id":"ITEM-1","itemData":{"DOI":"10.1111/jnc.14312","ISSN":"00223042","PMID":"29364516","abstract":"Recent studies have strongly shown that cell-to-cell transmission of neuropathogenic proteins is a common mechanism for the development of neurodegenerative diseases. However, the underlying cause is complex and little is known. Although distinct processes are involved in the pathogenesis of various diseases, they all share the common feature of iron accumulation, an attribute that is particularly prominent in synucleinopathies. However, whether iron is a cofactor in facilitating the spread of α-synuclein remains unclear. Here, we constructed a cell-to-cell transmission model of α-synuclein using SN4741 cell line based on adenovirus vectors. Cells were treated with FeCl2, and α-synuclein aggregation and transmission were then evaluated. In addition, the possible mechanisms were investigated through gene knockdown or over-expression. Our results demonstrated that iron promoted α-synuclein aggregation and transmission by inhibiting autophagosome-lysosome fusion. Furthermore, iron decreased the expression of nuclear transcription factor EB (TFEB), a master transcriptional regulator of autophagosome-lysosome fusion, and inhibited its nuclear translocation through activating AKT/mTORC1 signaling. After silencing TFEB, ratios of α-synuclein aggregation and transmission were not significantly altered by the presence of iron; on the other hand, when TFEB was over-expressed, the transmission of α-synuclein induced by iron was obviously reversed; suggesting the mechanism by which iron promotes α-synuclein transmission may be mediated by TFEB. Taken together, our data reveal a previously unknown relationship between iron and α-synuclein, and identify TFEB as not only a potential target for preventing α-synuclein transmission, but also a critical factor for iron-induced α-synuclein aggregation and transmission. Indeed, this newly discovered role of iron and TFEB in synucleinopathies may provide novel targets for developing therapeutic strategies to prevent α-synuclein transmission in Parkinson's disease.","author":[{"dropping-particle":"","family":"Xiao","given":"Yousheng","non-dropping-particle":"","parse-names":false,"suffix":""},{"dropping-particle":"","family":"Chen","given":"Xiang","non-dropping-particle":"","parse-names":false,"suffix":""},{"dropping-particle":"","family":"Huang","given":"Shuxuan","non-dropping-particle":"","parse-names":false,"suffix":""},{"dropping-particle":"","family":"Li","given":"Guihua","non-dropping-particle":"","parse-names":false,"suffix":""},{"dropping-particle":"","family":"Mo","given":"Mingshu","non-dropping-particle":"","parse-names":false,"suffix":""},{"dropping-particle":"","family":"Zhang","given":"Li","non-dropping-particle":"","parse-names":false,"suffix":""},{"dropping-particle":"","family":"Chen","given":"Chaojun","non-dropping-particle":"","parse-names":false,"suffix":""},{"dropping-particle":"","family":"Guo","given":"Wenyuan","non-dropping-particle":"","parse-names":false,"suffix":""},{"dropping-particle":"","family":"Zhou","given":"Miaomiao","non-dropping-particle":"","parse-names":false,"suffix":""},{"dropping-particle":"","family":"Wu","given":"Zhuohua","non-dropping-particle":"","parse-names":false,"suffix":""},{"dropping-particle":"","family":"Cen","given":"Luan","non-dropping-particle":"","parse-names":false,"suffix":""},{"dropping-particle":"","family":"Long","given":"Simei","non-dropping-particle":"","parse-names":false,"suffix":""},{"dropping-particle":"","family":"Li","given":"Shaomin","non-dropping-particle":"","parse-names":false,"suffix":""},{"dropping-particle":"","family":"Yang","given":"Xinling","non-dropping-particle":"","parse-names":false,"suffix":""},{"dropping-particle":"","family":"Qu","given":"Shaogang","non-dropping-particle":"","parse-names":false,"suffix":""},{"dropping-particle":"","family":"Pei","given":"Zhong","non-dropping-particle":"","parse-names":false,"suffix":""},{"dropping-particle":"","family":"Xu","given":"Pingyi","non-dropping-particle":"","parse-names":false,"suffix":""}],"container-title":"Journal of Neurochemistry","id":"ITEM-1","issue":"1","issued":{"date-parts":[["2018","4"]]},"page":"34-50","title":"Iron promotes α-synuclein aggregation and transmission by inhibiting TFEB-mediated autophagosome-lysosome fusion","type":"article-journal","volume":"145"},"uris":["http://www.mendeley.com/documents/?uuid=5961c2b8-2072-364a-a538-2943e9ef174f"]},{"id":"ITEM-2","itemData":{"DOI":"10.1021/jacs.8b02013","ISSN":"0002-7863","PMID":"29608844","abstract":"Brain metal dyshomeostasis and altered structural dynamics of the presynaptic protein α-synuclein (αS) are both implicated in the pathology of Parkinson's disease (PD), yet a mechanistic understanding of disease progression in the context of αS structure and metal interactions remains elusive. In this Communication, we detail the influence of iron, a prevalent redox-active brain biometal, on the aggregation propensity and secondary structure of N-terminally acetylated αS (NAcαS), the physiologically relevant form in humans. We demonstrate that under aerobic conditions, Fe(II) commits NAcαS to a PD-relevant oligomeric assembly, verified by the oligomer-selective A11 antibody, that does not have any parallel β-sheet character but contains a substantial right-twisted antiparallel β-sheet component based on CD analyses and descriptive deconvolution of the secondary structure. This NAcαS-FeII oligomer does not develop into the β-sheet fibrils that have become hallmarks of PD, even after extended incubation, as verified by TEM imaging and the fibril-specific OC antibody. Thioflavin T (ThT), a fluorescent probe for β-sheet fibril formation, also lacks coordination to this antiparallel conformer. We further show that this oligomeric state is not observed when O2 is excluded, indicating a role for iron(II)-mediated O2 chemistry in locking this dynamic protein into a conformation that may have physiological or pathological implications.","author":[{"dropping-particle":"","family":"Abeyawardhane","given":"Dinendra L.","non-dropping-particle":"","parse-names":false,"suffix":""},{"dropping-particle":"","family":"Fernández","given":"Ricardo D.","non-dropping-particle":"","parse-names":false,"suffix":""},{"dropping-particle":"","family":"Murgas","given":"Cody J.","non-dropping-particle":"","parse-names":false,"suffix":""},{"dropping-particle":"","family":"Heitger","given":"Denver R.","non-dropping-particle":"","parse-names":false,"suffix":""},{"dropping-particle":"","family":"Forney","given":"Ashley K.","non-dropping-particle":"","parse-names":false,"suffix":""},{"dropping-particle":"","family":"Crozier","given":"Madeleine K.","non-dropping-particle":"","parse-names":false,"suffix":""},{"dropping-particle":"","family":"Lucas","given":"Heather R.","non-dropping-particle":"","parse-names":false,"suffix":""}],"container-title":"Journal of the American Chemical Society","id":"ITEM-2","issue":"15","issued":{"date-parts":[["2018","4","18"]]},"page":"5028-5032","title":"Iron Redox Chemistry Promotes Antiparallel Oligomerization of α-Synuclein","type":"article-journal","volume":"140"},"uris":["http://www.mendeley.com/documents/?uuid=62279cc3-6789-35ff-8870-86d99bf51781"]},{"id":"ITEM-3","itemData":{"DOI":"10.1016/j.neuint.2019.02.016","ISSN":"01970186","PMID":"30797969","abstract":"α-Synuclein plays a central role in synucleinopathies pathogenesis such as Parkinson's disease (PD). Phosphorylation is the most common and important protein modification linked to α-synuclein pathologies. There is mounting evidence suggested iron and α-synuclein are closely related in PD. We previously reported iron up-regulated α-synuclein mRNA levels and induced α-synuclein aggregation. In the present study, we aimed to investigate whether and how phosphorylation was involved in iron-induced α-synuclein regulations. The results showed that iron could induce pS129 α-synuclein (phosphorylation at Ser129) and α-synuclein upregulation in the substantia nigra of iron-overloaded rats and iron-treated SH-SY5Y cells, accompanied by the elevated levels of polo-like kinase 2 (PLK2) and casein kinase 2 (CK2). Over-expression of CK2 or PLK2 induced pS129 α-synuclein up-regulation and inhibitors of CK2 or PLK2 could suppress iron-induced α-synuclein phosphorylation. Antioxidant NAC could fully block iron-induced upregulation of CK2, PLK2 and pS129 α-synuclein levels, indicating oxidative stress plays a critical role in iron-induced α-synuclein phosphorylation. However, iron-induced α-synuclein up-regulation could only be partially blocked by CK2/PLK2 inhibitor or NAC. These findings demonstrate that iron-induced oxidative stress is largely responsible for α-synuclein phosphorylation and upregulation via CK2 and PLK2, and α-synuclein upregulation is not fully phosphorylation-dependent.","author":[{"dropping-particle":"","family":"Wang","given":"Ranran","non-dropping-particle":"","parse-names":false,"suffix":""},{"dropping-particle":"","family":"Wang","given":"Youcui","non-dropping-particle":"","parse-names":false,"suffix":""},{"dropping-particle":"","family":"Qu","given":"Le","non-dropping-particle":"","parse-names":false,"suffix":""},{"dropping-particle":"","family":"Chen","given":"Bingbing","non-dropping-particle":"","parse-names":false,"suffix":""},{"dropping-particle":"","family":"Jiang","given":"Hong","non-dropping-particle":"","parse-names":false,"suffix":""},{"dropping-particle":"","family":"Song","given":"Ning","non-dropping-particle":"","parse-names":false,"suffix":""},{"dropping-particle":"","family":"Xie","given":"Junxia","non-dropping-particle":"","parse-names":false,"suffix":""}],"container-title":"Neurochemistry International","id":"ITEM-3","issued":{"date-parts":[["2019","5"]]},"page":"127-135","title":"Iron-induced oxidative stress contributes to α-synuclein phosphorylation and up-regulation via polo-like kinase 2 and casein kinase 2","type":"article-journal","volume":"125"},"uris":["http://www.mendeley.com/documents/?uuid=3a8391ef-3700-3409-90b8-94833bc68093"]}],"mendeley":{"formattedCitation":"(Xiao &lt;i&gt;et al.&lt;/i&gt; 2018; Abeyawardhane &lt;i&gt;et al.&lt;/i&gt; 2018; Wang &lt;i&gt;et al.&lt;/i&gt; 2019)","plainTextFormattedCitation":"(Xiao et al. 2018; Abeyawardhane et al. 2018; Wang et al. 2019)","previouslyFormattedCitation":"(Xiao &lt;i&gt;et al.&lt;/i&gt; 2018; Abeyawardhane &lt;i&gt;et al.&lt;/i&gt; 2018; Wang &lt;i&gt;et al.&lt;/i&gt; 2019)"},"properties":{"noteIndex":0},"schema":"https://github.com/citation-style-language/schema/raw/master/csl-citation.json"}</w:instrText>
      </w:r>
      <w:r w:rsidR="003D4D20" w:rsidRPr="003131ED">
        <w:rPr>
          <w:sz w:val="22"/>
          <w:szCs w:val="22"/>
        </w:rPr>
        <w:fldChar w:fldCharType="separate"/>
      </w:r>
      <w:r w:rsidR="00D86B9A" w:rsidRPr="003131ED">
        <w:rPr>
          <w:noProof/>
          <w:sz w:val="22"/>
          <w:szCs w:val="22"/>
        </w:rPr>
        <w:t xml:space="preserve">(Xiao </w:t>
      </w:r>
      <w:r w:rsidR="00D86B9A" w:rsidRPr="003131ED">
        <w:rPr>
          <w:i/>
          <w:noProof/>
          <w:sz w:val="22"/>
          <w:szCs w:val="22"/>
        </w:rPr>
        <w:t>et al.</w:t>
      </w:r>
      <w:r w:rsidR="00D86B9A" w:rsidRPr="003131ED">
        <w:rPr>
          <w:noProof/>
          <w:sz w:val="22"/>
          <w:szCs w:val="22"/>
        </w:rPr>
        <w:t xml:space="preserve"> 2018; Abeyawardhane </w:t>
      </w:r>
      <w:r w:rsidR="00D86B9A" w:rsidRPr="003131ED">
        <w:rPr>
          <w:i/>
          <w:noProof/>
          <w:sz w:val="22"/>
          <w:szCs w:val="22"/>
        </w:rPr>
        <w:t>et al.</w:t>
      </w:r>
      <w:r w:rsidR="00D86B9A" w:rsidRPr="003131ED">
        <w:rPr>
          <w:noProof/>
          <w:sz w:val="22"/>
          <w:szCs w:val="22"/>
        </w:rPr>
        <w:t xml:space="preserve"> 2018; Wang </w:t>
      </w:r>
      <w:r w:rsidR="00D86B9A" w:rsidRPr="003131ED">
        <w:rPr>
          <w:i/>
          <w:noProof/>
          <w:sz w:val="22"/>
          <w:szCs w:val="22"/>
        </w:rPr>
        <w:t>et al.</w:t>
      </w:r>
      <w:r w:rsidR="00D86B9A" w:rsidRPr="003131ED">
        <w:rPr>
          <w:noProof/>
          <w:sz w:val="22"/>
          <w:szCs w:val="22"/>
        </w:rPr>
        <w:t xml:space="preserve"> 2019)</w:t>
      </w:r>
      <w:r w:rsidR="003D4D20" w:rsidRPr="003131ED">
        <w:rPr>
          <w:sz w:val="22"/>
          <w:szCs w:val="22"/>
        </w:rPr>
        <w:fldChar w:fldCharType="end"/>
      </w:r>
      <w:r w:rsidRPr="003131ED">
        <w:rPr>
          <w:sz w:val="22"/>
          <w:szCs w:val="22"/>
        </w:rPr>
        <w:t xml:space="preserve">. The role of iron in </w:t>
      </w:r>
      <w:r w:rsidR="00542B23" w:rsidRPr="003131ED">
        <w:rPr>
          <w:sz w:val="22"/>
          <w:szCs w:val="22"/>
        </w:rPr>
        <w:t>Parkinson’s disease</w:t>
      </w:r>
      <w:r w:rsidRPr="003131ED">
        <w:rPr>
          <w:sz w:val="22"/>
          <w:szCs w:val="22"/>
        </w:rPr>
        <w:t xml:space="preserve"> progression is</w:t>
      </w:r>
      <w:r w:rsidR="003D4D20" w:rsidRPr="003131ED">
        <w:rPr>
          <w:sz w:val="22"/>
          <w:szCs w:val="22"/>
        </w:rPr>
        <w:t xml:space="preserve"> u</w:t>
      </w:r>
      <w:r w:rsidRPr="003131ED">
        <w:rPr>
          <w:sz w:val="22"/>
          <w:szCs w:val="22"/>
        </w:rPr>
        <w:t>nder</w:t>
      </w:r>
      <w:r w:rsidR="003D4D20" w:rsidRPr="003131ED">
        <w:rPr>
          <w:sz w:val="22"/>
          <w:szCs w:val="22"/>
        </w:rPr>
        <w:t xml:space="preserve"> </w:t>
      </w:r>
      <w:r w:rsidR="00800214" w:rsidRPr="003131ED">
        <w:rPr>
          <w:sz w:val="22"/>
          <w:szCs w:val="22"/>
        </w:rPr>
        <w:t xml:space="preserve">active </w:t>
      </w:r>
      <w:r w:rsidRPr="003131ED">
        <w:rPr>
          <w:sz w:val="22"/>
          <w:szCs w:val="22"/>
        </w:rPr>
        <w:t>clinical investigation in</w:t>
      </w:r>
      <w:r w:rsidR="00542B23" w:rsidRPr="003131ED">
        <w:rPr>
          <w:sz w:val="22"/>
          <w:szCs w:val="22"/>
        </w:rPr>
        <w:t xml:space="preserve"> </w:t>
      </w:r>
      <w:r w:rsidRPr="003131ED">
        <w:rPr>
          <w:sz w:val="22"/>
          <w:szCs w:val="22"/>
        </w:rPr>
        <w:t xml:space="preserve">ongoing studies of </w:t>
      </w:r>
      <w:r w:rsidR="002E4D9B" w:rsidRPr="003131ED">
        <w:rPr>
          <w:sz w:val="22"/>
          <w:szCs w:val="22"/>
        </w:rPr>
        <w:t xml:space="preserve">an </w:t>
      </w:r>
      <w:r w:rsidRPr="003131ED">
        <w:rPr>
          <w:sz w:val="22"/>
          <w:szCs w:val="22"/>
        </w:rPr>
        <w:t xml:space="preserve">iron chelator, deferiprone, as a potential therapeutic option for </w:t>
      </w:r>
      <w:r w:rsidR="003D4D20" w:rsidRPr="003131ED">
        <w:rPr>
          <w:sz w:val="22"/>
          <w:szCs w:val="22"/>
        </w:rPr>
        <w:t xml:space="preserve">Parkinson’s disease </w:t>
      </w:r>
      <w:r w:rsidR="00B41BA4" w:rsidRPr="003131ED">
        <w:rPr>
          <w:sz w:val="22"/>
          <w:szCs w:val="22"/>
        </w:rPr>
        <w:fldChar w:fldCharType="begin" w:fldLock="1"/>
      </w:r>
      <w:r w:rsidR="00D86B9A" w:rsidRPr="003131ED">
        <w:rPr>
          <w:sz w:val="22"/>
          <w:szCs w:val="22"/>
        </w:rPr>
        <w:instrText>ADDIN CSL_CITATION {"citationItems":[{"id":"ITEM-1","itemData":{"DOI":"10.1089/ars.2013.5593","ISSN":"1557-7716","PMID":"24251381","abstract":"AIMS The pathophysiological role of iron in Parkinson's disease (PD) was assessed by a chelation strategy aimed at reducing oxidative damage associated with regional iron deposition without affecting circulating metals. Translational cell and animal models provided concept proofs and a delayed-start (DS) treatment paradigm, the basis for preliminary clinical assessments. RESULTS For translational studies, we assessed the effect of oxidative insults in mice systemically prechelated with deferiprone (DFP) by following motor functions, striatal dopamine (HPLC and MRI-PET), and brain iron deposition (relaxation-R2*-MRI) aided by spectroscopic measurements of neuronal labile iron (with fluorescence-sensitive iron sensors) and oxidative damage by markers of protein, lipid, and DNA modification. DFP significantly reduced labile iron and biological damage in oxidation-stressed cells and animals, improving motor functions while raising striatal dopamine. For a pilot, double-blind, placebo-controlled randomized clinical trial, early-stage Parkinson's patients on stabilized dopamine regimens enrolled in a 12-month single-center study with DFP (30 mg/kg/day). Based on a 6-month DS paradigm, early-start patients (n=19) compared to DS patients (n=18) (37/40 completed) responded significantly earlier and sustainably to treatment in both substantia nigra iron deposits (R2* MRI) and Unified Parkinson's Disease Rating Scale motor indicators of disease progression (p&lt;0.03 and p&lt;0.04, respectively). Apart from three rapidly resolved neutropenia cases, safety was maintained throughout the trial. INNOVATION A moderate iron chelation regimen that avoids changes in systemic iron levels may constitute a novel therapeutic modality for PD. CONCLUSIONS The therapeutic features of a chelation modality established in translational models and in pilot clinical trials warrant comprehensive evaluation of symptomatic and/or disease-modifying potential of chelation in PD.","author":[{"dropping-particle":"","family":"Devos","given":"David","non-dropping-particle":"","parse-names":false,"suffix":""},{"dropping-particle":"","family":"Moreau","given":"Caroline","non-dropping-particle":"","parse-names":false,"suffix":""},{"dropping-particle":"","family":"Devedjian","given":"Jean Christophe","non-dropping-particle":"","parse-names":false,"suffix":""},{"dropping-particle":"","family":"Kluza","given":"Jérome","non-dropping-particle":"","parse-names":false,"suffix":""},{"dropping-particle":"","family":"Petrault","given":"Maud","non-dropping-particle":"","parse-names":false,"suffix":""},{"dropping-particle":"","family":"Laloux","given":"Charlotte","non-dropping-particle":"","parse-names":false,"suffix":""},{"dropping-particle":"","family":"Jonneaux","given":"Aurélie","non-dropping-particle":"","parse-names":false,"suffix":""},{"dropping-particle":"","family":"Ryckewaert","given":"Gilles","non-dropping-particle":"","parse-names":false,"suffix":""},{"dropping-particle":"","family":"Garçon","given":"Guillaume","non-dropping-particle":"","parse-names":false,"suffix":""},{"dropping-particle":"","family":"Rouaix","given":"Nathalie","non-dropping-particle":"","parse-names":false,"suffix":""},{"dropping-particle":"","family":"Duhamel","given":"Alain","non-dropping-particle":"","parse-names":false,"suffix":""},{"dropping-particle":"","family":"Jissendi","given":"Patrice","non-dropping-particle":"","parse-names":false,"suffix":""},{"dropping-particle":"","family":"Dujardin","given":"Kathy","non-dropping-particle":"","parse-names":false,"suffix":""},{"dropping-particle":"","family":"Auger","given":"Florent","non-dropping-particle":"","parse-names":false,"suffix":""},{"dropping-particle":"","family":"Ravasi","given":"Laura","non-dropping-particle":"","parse-names":false,"suffix":""},{"dropping-particle":"","family":"Hopes","given":"Lucie","non-dropping-particle":"","parse-names":false,"suffix":""},{"dropping-particle":"","family":"Grolez","given":"Guillaume","non-dropping-particle":"","parse-names":false,"suffix":""},{"dropping-particle":"","family":"Firdaus","given":"Wance","non-dropping-particle":"","parse-names":false,"suffix":""},{"dropping-particle":"","family":"Sablonnière","given":"Bernard","non-dropping-particle":"","parse-names":false,"suffix":""},{"dropping-particle":"","family":"Strubi-Vuillaume","given":"Isabelle","non-dropping-particle":"","parse-names":false,"suffix":""},{"dropping-particle":"","family":"Zahr","given":"Noel","non-dropping-particle":"","parse-names":false,"suffix":""},{"dropping-particle":"","family":"Destée","given":"Alain","non-dropping-particle":"","parse-names":false,"suffix":""},{"dropping-particle":"","family":"Corvol","given":"Jean-Christophe","non-dropping-particle":"","parse-names":false,"suffix":""},{"dropping-particle":"","family":"Pöltl","given":"Dominik","non-dropping-particle":"","parse-names":false,"suffix":""},{"dropping-particle":"","family":"Leist","given":"Marcel","non-dropping-particle":"","parse-names":false,"suffix":""},{"dropping-particle":"","family":"Rose","given":"Christian","non-dropping-particle":"","parse-names":false,"suffix":""},{"dropping-particle":"","family":"Defebvre","given":"Luc","non-dropping-particle":"","parse-names":false,"suffix":""},{"dropping-particle":"","family":"Marchetti","given":"Philippe","non-dropping-particle":"","parse-names":false,"suffix":""},{"dropping-particle":"","family":"Cabantchik","given":"Z Ioav","non-dropping-particle":"","parse-names":false,"suffix":""},{"dropping-particle":"","family":"Bordet","given":"Régis","non-dropping-particle":"","parse-names":false,"suffix":""}],"container-title":"Antioxidants &amp; redox signaling","id":"ITEM-1","issue":"2","issued":{"date-parts":[["2014","7","10"]]},"page":"195-210","publisher":"Mary Ann Liebert, Inc.","title":"Targeting chelatable iron as a therapeutic modality in Parkinson's disease.","type":"article-journal","volume":"21"},"uris":["http://www.mendeley.com/documents/?uuid=f7e8ec3c-ce22-3306-a6b3-6b59a1c65946"]},{"id":"ITEM-2","itemData":{"DOI":"10.1038/s41598-017-01402-2","ISSN":"20452322","PMID":"28469157","abstract":"Parkinson's disease (PD) is associated with increased iron levels in the substantia nigra (SNc). This study evaluated whether the iron chelator, deferiprone, is well tolerated, able to chelate iron from various brain regions and improve PD symptomology. In a randomised double-blind, placebo controlled trial, 22 early onset PD patients, were administered deferiprone, 10 or 15 mg/kg BID or placebo, for 6 months. Patients were evaluated for PD severity, cognitive function, depression rating and quality of life. Iron concentrations were assessed in the substantia nigra (SNc), dentate and caudate nucleus, red nucleus, putamen and globus pallidus by T2* MRI at baseline and after 3 and 6 months of treatment. Deferiprone therapy was well tolerated and was associated with a reduced dentate and caudate nucleus iron content compared to placebo. Reductions in iron content of the SNc occurred in only 3 patients, with no changes being detected in the putamen or globus pallidus. Although 30 mg/kg deferiprone treated patients showed a trend for improvement in motor-UPDRS scores and quality of life, this did not reach significance. Cognitive function and mood were not adversely affected by deferiprone therapy. Such data supports more extensive clinical trials into the potential benefits of iron chelation in PD.","author":[{"dropping-particle":"","family":"Martin-Bastida","given":"Antonio","non-dropping-particle":"","parse-names":false,"suffix":""},{"dropping-particle":"","family":"Ward","given":"Roberta J.","non-dropping-particle":"","parse-names":false,"suffix":""},{"dropping-particle":"","family":"Newbould","given":"Rexford","non-dropping-particle":"","parse-names":false,"suffix":""},{"dropping-particle":"","family":"Piccini","given":"Paola","non-dropping-particle":"","parse-names":false,"suffix":""},{"dropping-particle":"","family":"Sharp","given":"David","non-dropping-particle":"","parse-names":false,"suffix":""},{"dropping-particle":"","family":"Kabba","given":"Christina","non-dropping-particle":"","parse-names":false,"suffix":""},{"dropping-particle":"","family":"Patel","given":"Maneesh C.","non-dropping-particle":"","parse-names":false,"suffix":""},{"dropping-particle":"","family":"Spino","given":"Michael","non-dropping-particle":"","parse-names":false,"suffix":""},{"dropping-particle":"","family":"Connelly","given":"John","non-dropping-particle":"","parse-names":false,"suffix":""},{"dropping-particle":"","family":"Tricta","given":"Fernando","non-dropping-particle":"","parse-names":false,"suffix":""},{"dropping-particle":"","family":"Crichton","given":"Robert R.","non-dropping-particle":"","parse-names":false,"suffix":""},{"dropping-particle":"","family":"Dexter","given":"David T.","non-dropping-particle":"","parse-names":false,"suffix":""}],"container-title":"Scientific Reports","id":"ITEM-2","issue":"1","issued":{"date-parts":[["2017","12","3"]]},"page":"1398","title":"Brain iron chelation by deferiprone in a phase 2 randomised double-blinded placebo controlled clinical trial in Parkinson's disease","type":"article-journal","volume":"7"},"uris":["http://www.mendeley.com/documents/?uuid=e6b1dd82-83d7-377e-adc2-d5a19e3fc26d"]}],"mendeley":{"formattedCitation":"(Devos &lt;i&gt;et al.&lt;/i&gt; 2014; Martin-Bastida &lt;i&gt;et al.&lt;/i&gt; 2017)","plainTextFormattedCitation":"(Devos et al. 2014; Martin-Bastida et al. 2017)","previouslyFormattedCitation":"(Devos &lt;i&gt;et al.&lt;/i&gt; 2014; Martin-Bastida &lt;i&gt;et al.&lt;/i&gt; 2017)"},"properties":{"noteIndex":0},"schema":"https://github.com/citation-style-language/schema/raw/master/csl-citation.json"}</w:instrText>
      </w:r>
      <w:r w:rsidR="00B41BA4" w:rsidRPr="003131ED">
        <w:rPr>
          <w:sz w:val="22"/>
          <w:szCs w:val="22"/>
        </w:rPr>
        <w:fldChar w:fldCharType="separate"/>
      </w:r>
      <w:r w:rsidR="00D86B9A" w:rsidRPr="003131ED">
        <w:rPr>
          <w:noProof/>
          <w:sz w:val="22"/>
          <w:szCs w:val="22"/>
        </w:rPr>
        <w:t xml:space="preserve">(Devos </w:t>
      </w:r>
      <w:r w:rsidR="00D86B9A" w:rsidRPr="003131ED">
        <w:rPr>
          <w:i/>
          <w:noProof/>
          <w:sz w:val="22"/>
          <w:szCs w:val="22"/>
        </w:rPr>
        <w:t>et al.</w:t>
      </w:r>
      <w:r w:rsidR="00D86B9A" w:rsidRPr="003131ED">
        <w:rPr>
          <w:noProof/>
          <w:sz w:val="22"/>
          <w:szCs w:val="22"/>
        </w:rPr>
        <w:t xml:space="preserve"> 2014; Martin-Bastida </w:t>
      </w:r>
      <w:r w:rsidR="00D86B9A" w:rsidRPr="003131ED">
        <w:rPr>
          <w:i/>
          <w:noProof/>
          <w:sz w:val="22"/>
          <w:szCs w:val="22"/>
        </w:rPr>
        <w:t>et al.</w:t>
      </w:r>
      <w:r w:rsidR="00D86B9A" w:rsidRPr="003131ED">
        <w:rPr>
          <w:noProof/>
          <w:sz w:val="22"/>
          <w:szCs w:val="22"/>
        </w:rPr>
        <w:t xml:space="preserve"> 2017)</w:t>
      </w:r>
      <w:r w:rsidR="00B41BA4" w:rsidRPr="003131ED">
        <w:rPr>
          <w:sz w:val="22"/>
          <w:szCs w:val="22"/>
        </w:rPr>
        <w:fldChar w:fldCharType="end"/>
      </w:r>
      <w:r w:rsidR="00542B23" w:rsidRPr="003131ED">
        <w:rPr>
          <w:sz w:val="22"/>
          <w:szCs w:val="22"/>
        </w:rPr>
        <w:t>.</w:t>
      </w:r>
    </w:p>
    <w:p w14:paraId="5F578FD0" w14:textId="77777777" w:rsidR="00143D70" w:rsidRPr="003131ED" w:rsidRDefault="00143D70" w:rsidP="00D0468C">
      <w:pPr>
        <w:spacing w:line="360" w:lineRule="auto"/>
        <w:jc w:val="both"/>
        <w:rPr>
          <w:rFonts w:ascii="Arial" w:hAnsi="Arial" w:cs="Arial"/>
          <w:sz w:val="22"/>
          <w:szCs w:val="22"/>
        </w:rPr>
      </w:pPr>
    </w:p>
    <w:p w14:paraId="781223C6" w14:textId="521CAF0C" w:rsidR="00471762" w:rsidRPr="003131ED" w:rsidRDefault="00143D70" w:rsidP="00760AFE">
      <w:pPr>
        <w:spacing w:line="360" w:lineRule="auto"/>
        <w:jc w:val="both"/>
        <w:rPr>
          <w:sz w:val="22"/>
          <w:szCs w:val="22"/>
        </w:rPr>
      </w:pPr>
      <w:r w:rsidRPr="003131ED">
        <w:rPr>
          <w:sz w:val="22"/>
          <w:szCs w:val="22"/>
        </w:rPr>
        <w:t xml:space="preserve">α-Synuclein oligomers and fibrils are </w:t>
      </w:r>
      <w:r w:rsidR="00F619AA" w:rsidRPr="003131ED">
        <w:rPr>
          <w:sz w:val="22"/>
          <w:szCs w:val="22"/>
        </w:rPr>
        <w:t xml:space="preserve">widely </w:t>
      </w:r>
      <w:r w:rsidRPr="003131ED">
        <w:rPr>
          <w:sz w:val="22"/>
          <w:szCs w:val="22"/>
        </w:rPr>
        <w:t xml:space="preserve">considered </w:t>
      </w:r>
      <w:r w:rsidR="00F619AA" w:rsidRPr="003131ED">
        <w:rPr>
          <w:sz w:val="22"/>
          <w:szCs w:val="22"/>
        </w:rPr>
        <w:t>to be</w:t>
      </w:r>
      <w:r w:rsidRPr="003131ED">
        <w:rPr>
          <w:sz w:val="22"/>
          <w:szCs w:val="22"/>
        </w:rPr>
        <w:t xml:space="preserve"> the main toxic components of </w:t>
      </w:r>
      <w:r w:rsidR="00542B23" w:rsidRPr="003131ED">
        <w:rPr>
          <w:sz w:val="22"/>
          <w:szCs w:val="22"/>
        </w:rPr>
        <w:t xml:space="preserve">Parkinson’s disease </w:t>
      </w:r>
      <w:r w:rsidRPr="003131ED">
        <w:rPr>
          <w:sz w:val="22"/>
          <w:szCs w:val="22"/>
        </w:rPr>
        <w:t>pathology</w:t>
      </w:r>
      <w:r w:rsidR="0064601A" w:rsidRPr="003131ED">
        <w:rPr>
          <w:sz w:val="22"/>
          <w:szCs w:val="22"/>
        </w:rPr>
        <w:t xml:space="preserve"> </w:t>
      </w:r>
      <w:r w:rsidR="0064601A" w:rsidRPr="003131ED">
        <w:rPr>
          <w:sz w:val="22"/>
          <w:szCs w:val="22"/>
        </w:rPr>
        <w:fldChar w:fldCharType="begin" w:fldLock="1"/>
      </w:r>
      <w:r w:rsidR="00D86B9A" w:rsidRPr="003131ED">
        <w:rPr>
          <w:sz w:val="22"/>
          <w:szCs w:val="22"/>
        </w:rPr>
        <w:instrText>ADDIN CSL_CITATION {"citationItems":[{"id":"ITEM-1","itemData":{"DOI":"10.1073/pnas.1100976108","ISSN":"00278424","PMID":"21325059","abstract":"The aggregation of proteins into oligomers and amyloid fibrils is characteristic of several neurodegenerative diseases, including Parkinson disease (PD). In PD, the process of aggregation of α-synuclein (α-syn) from monomers, via oligomeric intermediates, into amyloid fibrils is considered the disease-causative toxic mechanism. We developed α-syn mutants that promote oligomer or fibril formation and tested the toxicity of these mutants by using a rat lentivirus system to investigate loss of dopaminergic neurons in the substantia nigra. The most severe dopaminergic loss in the substantia nigra is observed in animals with the α-syn variants that form oligomers (i.e., E57K and E35K), whereas the α-syn variants that form fibrils very quickly are less toxic. We show that α-syn oligomers are toxic in vivo and that α-syn oligomers might interact with and potentially disrupt membranes.","author":[{"dropping-particle":"","family":"Winner","given":"Beate","non-dropping-particle":"","parse-names":false,"suffix":""},{"dropping-particle":"","family":"Jappelli","given":"Roberto","non-dropping-particle":"","parse-names":false,"suffix":""},{"dropping-particle":"","family":"Maji","given":"Samir K.","non-dropping-particle":"","parse-names":false,"suffix":""},{"dropping-particle":"","family":"Desplats","given":"Paula A.","non-dropping-particle":"","parse-names":false,"suffix":""},{"dropping-particle":"","family":"Boyer","given":"Leah","non-dropping-particle":"","parse-names":false,"suffix":""},{"dropping-particle":"","family":"Aigner","given":"Stefan","non-dropping-particle":"","parse-names":false,"suffix":""},{"dropping-particle":"","family":"Hetzer","given":"Claudia","non-dropping-particle":"","parse-names":false,"suffix":""},{"dropping-particle":"","family":"Loher","given":"Thomas","non-dropping-particle":"","parse-names":false,"suffix":""},{"dropping-particle":"","family":"Vilar","given":"Marçal","non-dropping-particle":"","parse-names":false,"suffix":""},{"dropping-particle":"","family":"Campioni","given":"Silvia","non-dropping-particle":"","parse-names":false,"suffix":""},{"dropping-particle":"","family":"Tzitzilonis","given":"Christos","non-dropping-particle":"","parse-names":false,"suffix":""},{"dropping-particle":"","family":"Soragni","given":"Alice","non-dropping-particle":"","parse-names":false,"suffix":""},{"dropping-particle":"","family":"Jessberger","given":"Sebastian","non-dropping-particle":"","parse-names":false,"suffix":""},{"dropping-particle":"","family":"Mira","given":"Helena","non-dropping-particle":"","parse-names":false,"suffix":""},{"dropping-particle":"","family":"Consiglio","given":"Antonella","non-dropping-particle":"","parse-names":false,"suffix":""},{"dropping-particle":"","family":"Pham","given":"Emiley","non-dropping-particle":"","parse-names":false,"suffix":""},{"dropping-particle":"","family":"Masliah","given":"Eliezer","non-dropping-particle":"","parse-names":false,"suffix":""},{"dropping-particle":"","family":"Gage","given":"Fred H.","non-dropping-particle":"","parse-names":false,"suffix":""},{"dropping-particle":"","family":"Riek","given":"Roland","non-dropping-particle":"","parse-names":false,"suffix":""}],"container-title":"Proceedings of the National Academy of Sciences of the United States of America","id":"ITEM-1","issue":"10","issued":{"date-parts":[["2011","3","8"]]},"page":"4194-4199","title":"In vivo demonstration that α-synuclein oligomers are toxic","type":"article-journal","volume":"108"},"uris":["http://www.mendeley.com/documents/?uuid=53ac2664-8755-3346-bee7-1b3076fb732d"]},{"id":"ITEM-2","itemData":{"DOI":"10.1093/brain/awu057","ISSN":"14602156","abstract":"In Parkinson's disease and dementia with Lewy bodies, α-synuclein aggregates to form oligomers and fibrils; however, the precise nature of the toxic α-synuclein species remains unclear. A number of synthetic α-synuclein mutations were recently created (E57K and E35K) that produce species of α-synuclein that preferentially form oligomers and increase α-synuclein-mediated toxicity. We have shown that acute lentiviral expression of α-synuclein E57K leads to the degeneration of dopaminergic neurons; however, the effects of chronic expression of oligomer-prone α-synuclein in synapses throughout the brain have not been investigated. Such a study could provide insight into the possible mechanism(s) through which accumulation of α-synuclein oligomers in the synapse leads to neurodegeneration. For this purpose, we compared the patterns of neurodegeneration and synaptic damage between a newly generated mThy-1 α-synuclein E57K transgenic mouse model that is prone to forming oligomers and the mThy-1 α-synuclein wild-type mouse model (Line 61), which accumulates various forms of α-synuclein. Three lines of α-synuclein E57K (Lines 9, 16 and 54) were generated and compared with the wild-type. The α-synuclein E57K Lines 9 and 16 were higher expressings of α-synuclein, similar to α-synuclein wild-type Line 61, and Line 54 was a low expressing of α-synuclein compared to Line 61. By immunoblot analysis, the higher-expressing α-synuclein E57K transgenic mice showed abundant oligomeric, but not fibrillar, α-synuclein whereas lower-expressing mice accumulated monomeric α-synuclein. Monomers, oligomers, and fibrils were present in α-synuclein wild-type Line 61. Immunohistochemical and ultrastructural analyses demonstrated that α-synuclein accumulated in the synapses but not in the neuronal cells bodies, which was different from the α-synuclein wild-type Line 61, which accumulates α-synuclein in the soma. Compared to non-transgenic and lower-expressing mice, the higher-expressing α-synuclein E57K mice displayed synaptic and dendritic loss, reduced levels of synapsin 1 and synaptic vesicles, and behavioural deficits. Similar alterations, but to a lesser extent, were seen in the α-synuclein wild-type mice. Moreover, although the oligomer-prone α-synuclein mice displayed neurodegeneration in the frontal cortex and hippocampus, the α-synuclein wild-type only displayed neuronal loss in the hippocampus. These results support the hypothesis that accumulating oligomeric α-synuclein ma…","author":[{"dropping-particle":"","family":"Rockenstein","given":"Edward","non-dropping-particle":"","parse-names":false,"suffix":""},{"dropping-particle":"","family":"Nuber","given":"Silke","non-dropping-particle":"","parse-names":false,"suffix":""},{"dropping-particle":"","family":"Overk","given":"Cassia R.","non-dropping-particle":"","parse-names":false,"suffix":""},{"dropping-particle":"","family":"Ubhi","given":"Kiren","non-dropping-particle":"","parse-names":false,"suffix":""},{"dropping-particle":"","family":"Mante","given":"Michael","non-dropping-particle":"","parse-names":false,"suffix":""},{"dropping-particle":"","family":"Patrick","given":"Christina","non-dropping-particle":"","parse-names":false,"suffix":""},{"dropping-particle":"","family":"Adame","given":"Anthony","non-dropping-particle":"","parse-names":false,"suffix":""},{"dropping-particle":"","family":"Trejo-Morales","given":"Margarita","non-dropping-particle":"","parse-names":false,"suffix":""},{"dropping-particle":"","family":"Gerez","given":"Juan","non-dropping-particle":"","parse-names":false,"suffix":""},{"dropping-particle":"","family":"Picotti","given":"Paola","non-dropping-particle":"","parse-names":false,"suffix":""},{"dropping-particle":"","family":"Jensen","given":"Poul H.","non-dropping-particle":"","parse-names":false,"suffix":""},{"dropping-particle":"","family":"Campioni","given":"Silvia","non-dropping-particle":"","parse-names":false,"suffix":""},{"dropping-particle":"","family":"Riek","given":"Roland","non-dropping-particle":"","parse-names":false,"suffix":""},{"dropping-particle":"","family":"Winkler","given":"Jürgen","non-dropping-particle":"","parse-names":false,"suffix":""},{"dropping-particle":"","family":"Gage","given":"Fred H.","non-dropping-particle":"","parse-names":false,"suffix":""},{"dropping-particle":"","family":"Winner","given":"Beate","non-dropping-particle":"","parse-names":false,"suffix":""},{"dropping-particle":"","family":"Masliah","given":"Eliezer","non-dropping-particle":"","parse-names":false,"suffix":""}],"container-title":"Brain","id":"ITEM-2","issue":"5","issued":{"date-parts":[["2014"]]},"page":"1496-1513","publisher":"Oxford University Press","title":"Accumulation of oligomer-prone α-synuclein exacerbates synaptic and neuronal degeneration in vivo","type":"article-journal","volume":"137"},"uris":["http://www.mendeley.com/documents/?uuid=f8e24568-da87-3cc9-8f72-42feab39cc10"]}],"mendeley":{"formattedCitation":"(Winner &lt;i&gt;et al.&lt;/i&gt; 2011; Rockenstein &lt;i&gt;et al.&lt;/i&gt; 2014)","plainTextFormattedCitation":"(Winner et al. 2011; Rockenstein et al. 2014)","previouslyFormattedCitation":"(Winner &lt;i&gt;et al.&lt;/i&gt; 2011; Rockenstein &lt;i&gt;et al.&lt;/i&gt; 2014)"},"properties":{"noteIndex":0},"schema":"https://github.com/citation-style-language/schema/raw/master/csl-citation.json"}</w:instrText>
      </w:r>
      <w:r w:rsidR="0064601A" w:rsidRPr="003131ED">
        <w:rPr>
          <w:sz w:val="22"/>
          <w:szCs w:val="22"/>
        </w:rPr>
        <w:fldChar w:fldCharType="separate"/>
      </w:r>
      <w:r w:rsidR="00D86B9A" w:rsidRPr="003131ED">
        <w:rPr>
          <w:noProof/>
          <w:sz w:val="22"/>
          <w:szCs w:val="22"/>
        </w:rPr>
        <w:t xml:space="preserve">(Winner </w:t>
      </w:r>
      <w:r w:rsidR="00D86B9A" w:rsidRPr="003131ED">
        <w:rPr>
          <w:i/>
          <w:noProof/>
          <w:sz w:val="22"/>
          <w:szCs w:val="22"/>
        </w:rPr>
        <w:t>et al.</w:t>
      </w:r>
      <w:r w:rsidR="00D86B9A" w:rsidRPr="003131ED">
        <w:rPr>
          <w:noProof/>
          <w:sz w:val="22"/>
          <w:szCs w:val="22"/>
        </w:rPr>
        <w:t xml:space="preserve"> 2011; Rockenstein </w:t>
      </w:r>
      <w:r w:rsidR="00D86B9A" w:rsidRPr="003131ED">
        <w:rPr>
          <w:i/>
          <w:noProof/>
          <w:sz w:val="22"/>
          <w:szCs w:val="22"/>
        </w:rPr>
        <w:t>et al.</w:t>
      </w:r>
      <w:r w:rsidR="00D86B9A" w:rsidRPr="003131ED">
        <w:rPr>
          <w:noProof/>
          <w:sz w:val="22"/>
          <w:szCs w:val="22"/>
        </w:rPr>
        <w:t xml:space="preserve"> 2014)</w:t>
      </w:r>
      <w:r w:rsidR="0064601A" w:rsidRPr="003131ED">
        <w:rPr>
          <w:sz w:val="22"/>
          <w:szCs w:val="22"/>
        </w:rPr>
        <w:fldChar w:fldCharType="end"/>
      </w:r>
      <w:r w:rsidRPr="003131ED">
        <w:rPr>
          <w:sz w:val="22"/>
          <w:szCs w:val="22"/>
        </w:rPr>
        <w:t xml:space="preserve">. </w:t>
      </w:r>
      <w:r w:rsidR="0064601A" w:rsidRPr="003131ED">
        <w:rPr>
          <w:sz w:val="22"/>
          <w:szCs w:val="22"/>
        </w:rPr>
        <w:t xml:space="preserve">Neurons containing </w:t>
      </w:r>
      <w:r w:rsidRPr="003131ED">
        <w:rPr>
          <w:sz w:val="22"/>
          <w:szCs w:val="22"/>
        </w:rPr>
        <w:t xml:space="preserve">aggregated </w:t>
      </w:r>
      <w:r w:rsidR="0064601A" w:rsidRPr="003131ED">
        <w:rPr>
          <w:sz w:val="22"/>
          <w:szCs w:val="22"/>
        </w:rPr>
        <w:sym w:font="Symbol" w:char="F061"/>
      </w:r>
      <w:r w:rsidR="0064601A" w:rsidRPr="003131ED">
        <w:rPr>
          <w:sz w:val="22"/>
          <w:szCs w:val="22"/>
        </w:rPr>
        <w:t>-synuclein</w:t>
      </w:r>
      <w:r w:rsidRPr="003131ED">
        <w:rPr>
          <w:sz w:val="22"/>
          <w:szCs w:val="22"/>
        </w:rPr>
        <w:t xml:space="preserve"> </w:t>
      </w:r>
      <w:r w:rsidR="0064601A" w:rsidRPr="003131ED">
        <w:rPr>
          <w:sz w:val="22"/>
          <w:szCs w:val="22"/>
        </w:rPr>
        <w:t>demonstrate</w:t>
      </w:r>
      <w:r w:rsidRPr="003131ED">
        <w:rPr>
          <w:sz w:val="22"/>
          <w:szCs w:val="22"/>
        </w:rPr>
        <w:t xml:space="preserve"> loss of normal </w:t>
      </w:r>
      <w:r w:rsidR="0064601A" w:rsidRPr="003131ED">
        <w:rPr>
          <w:sz w:val="22"/>
          <w:szCs w:val="22"/>
        </w:rPr>
        <w:t>neurotransmission</w:t>
      </w:r>
      <w:r w:rsidRPr="003131ED">
        <w:rPr>
          <w:sz w:val="22"/>
          <w:szCs w:val="22"/>
        </w:rPr>
        <w:t xml:space="preserve"> and disruption of multiple cellular processes including protein degradation pathways a</w:t>
      </w:r>
      <w:r w:rsidR="00E71616" w:rsidRPr="003131ED">
        <w:rPr>
          <w:sz w:val="22"/>
          <w:szCs w:val="22"/>
        </w:rPr>
        <w:t xml:space="preserve">nd mitochondrial function </w:t>
      </w:r>
      <w:r w:rsidR="00E71616" w:rsidRPr="003131ED">
        <w:rPr>
          <w:sz w:val="22"/>
          <w:szCs w:val="22"/>
        </w:rPr>
        <w:fldChar w:fldCharType="begin" w:fldLock="1"/>
      </w:r>
      <w:r w:rsidR="00D86B9A" w:rsidRPr="003131ED">
        <w:rPr>
          <w:sz w:val="22"/>
          <w:szCs w:val="22"/>
        </w:rPr>
        <w:instrText>ADDIN CSL_CITATION {"citationItems":[{"id":"ITEM-1","itemData":{"DOI":"10.1038/nm.4269","ISSN":"1078-8956","abstract":"Alterations in a-synuclein dosage lead to familial Parkinson’s disease (PD), and its accumulation results in synucleinopathies that include PD, dementia with Lewy bodies (DLB) and multiple system atrophy (MSA). Furthermore, a-synuclein contributes to the fibrilization of amyloid-b and tau, two key proteins in Alzheimer’s disease, which suggests a central role for a-synuclein toxicity in neurodegeneration. Recent studies of factors contributing to a-synuclein toxicity and its disruption of downstream cellular pathways have expanded our understanding of disease pathogenesis in synucleinopathies. In this Review, we discuss these emerging themes, including the contributions of aging, selective vulnerability and non-cell-autonomous factors such as a-synuclein cell-to-cell propagation and neuroinflammation. Finally, we summarize recent efforts toward the development of targeted therapies for PD and related synucleinopathies","author":[{"dropping-particle":"","family":"Wong","given":"Yvette C","non-dropping-particle":"","parse-names":false,"suffix":""},{"dropping-particle":"","family":"Krainc","given":"Dimitri","non-dropping-particle":"","parse-names":false,"suffix":""}],"container-title":"Nature Medicine","id":"ITEM-1","issue":"2","issued":{"date-parts":[["2017","2","7"]]},"page":"1-13","title":"α-Synuclein toxicity in neurodegeneration: mechanism and therapeutic strategies","type":"article-journal","volume":"23"},"uris":["http://www.mendeley.com/documents/?uuid=a7c9389e-ad33-3f22-a484-39e746a4d907"]}],"mendeley":{"formattedCitation":"(Wong and Krainc 2017)","plainTextFormattedCitation":"(Wong and Krainc 2017)","previouslyFormattedCitation":"(Wong and Krainc 2017)"},"properties":{"noteIndex":0},"schema":"https://github.com/citation-style-language/schema/raw/master/csl-citation.json"}</w:instrText>
      </w:r>
      <w:r w:rsidR="00E71616" w:rsidRPr="003131ED">
        <w:rPr>
          <w:sz w:val="22"/>
          <w:szCs w:val="22"/>
        </w:rPr>
        <w:fldChar w:fldCharType="separate"/>
      </w:r>
      <w:r w:rsidR="00D86B9A" w:rsidRPr="003131ED">
        <w:rPr>
          <w:noProof/>
          <w:sz w:val="22"/>
          <w:szCs w:val="22"/>
        </w:rPr>
        <w:t>(Wong and Krainc 2017)</w:t>
      </w:r>
      <w:r w:rsidR="00E71616" w:rsidRPr="003131ED">
        <w:rPr>
          <w:sz w:val="22"/>
          <w:szCs w:val="22"/>
        </w:rPr>
        <w:fldChar w:fldCharType="end"/>
      </w:r>
      <w:r w:rsidRPr="003131ED">
        <w:rPr>
          <w:sz w:val="22"/>
          <w:szCs w:val="22"/>
        </w:rPr>
        <w:t xml:space="preserve">. Various models of </w:t>
      </w:r>
      <w:r w:rsidRPr="003131ED">
        <w:rPr>
          <w:sz w:val="22"/>
          <w:szCs w:val="22"/>
        </w:rPr>
        <w:sym w:font="Symbol" w:char="F061"/>
      </w:r>
      <w:r w:rsidRPr="003131ED">
        <w:rPr>
          <w:sz w:val="22"/>
          <w:szCs w:val="22"/>
        </w:rPr>
        <w:t>-synuclein aggregation have been developed</w:t>
      </w:r>
      <w:r w:rsidR="00D05E5D" w:rsidRPr="003131ED">
        <w:rPr>
          <w:sz w:val="22"/>
          <w:szCs w:val="22"/>
        </w:rPr>
        <w:t xml:space="preserve"> to study its toxicity</w:t>
      </w:r>
      <w:r w:rsidRPr="003131ED">
        <w:rPr>
          <w:sz w:val="22"/>
          <w:szCs w:val="22"/>
        </w:rPr>
        <w:t>.</w:t>
      </w:r>
      <w:r w:rsidR="00A710A4" w:rsidRPr="003131ED">
        <w:rPr>
          <w:sz w:val="22"/>
          <w:szCs w:val="22"/>
        </w:rPr>
        <w:t xml:space="preserve"> </w:t>
      </w:r>
      <w:r w:rsidR="00B23879" w:rsidRPr="003131ED">
        <w:rPr>
          <w:sz w:val="22"/>
          <w:szCs w:val="22"/>
        </w:rPr>
        <w:sym w:font="Symbol" w:char="F061"/>
      </w:r>
      <w:r w:rsidR="00B23879" w:rsidRPr="003131ED">
        <w:rPr>
          <w:sz w:val="22"/>
          <w:szCs w:val="22"/>
        </w:rPr>
        <w:t xml:space="preserve">-Synuclein pre-formed fibrils (PFFs) are derived from aggregated recombinant </w:t>
      </w:r>
      <w:r w:rsidR="00B23879" w:rsidRPr="003131ED">
        <w:rPr>
          <w:sz w:val="22"/>
          <w:szCs w:val="22"/>
        </w:rPr>
        <w:sym w:font="Symbol" w:char="F061"/>
      </w:r>
      <w:r w:rsidR="00B23879" w:rsidRPr="003131ED">
        <w:rPr>
          <w:sz w:val="22"/>
          <w:szCs w:val="22"/>
        </w:rPr>
        <w:t>-synuclein monomers.</w:t>
      </w:r>
      <w:r w:rsidR="00B12FDE" w:rsidRPr="003131ED">
        <w:rPr>
          <w:sz w:val="22"/>
          <w:szCs w:val="22"/>
        </w:rPr>
        <w:t xml:space="preserve"> </w:t>
      </w:r>
      <w:r w:rsidR="00F26DBA" w:rsidRPr="003131ED">
        <w:rPr>
          <w:sz w:val="22"/>
          <w:szCs w:val="22"/>
        </w:rPr>
        <w:t>Injection of PFFs</w:t>
      </w:r>
      <w:r w:rsidR="00C44E5F" w:rsidRPr="003131ED">
        <w:rPr>
          <w:sz w:val="22"/>
          <w:szCs w:val="22"/>
        </w:rPr>
        <w:t xml:space="preserve"> </w:t>
      </w:r>
      <w:r w:rsidR="00B12FDE" w:rsidRPr="003131ED">
        <w:rPr>
          <w:sz w:val="22"/>
          <w:szCs w:val="22"/>
        </w:rPr>
        <w:t>into non</w:t>
      </w:r>
      <w:r w:rsidR="00E56026">
        <w:rPr>
          <w:sz w:val="22"/>
          <w:szCs w:val="22"/>
        </w:rPr>
        <w:t>-</w:t>
      </w:r>
      <w:r w:rsidR="00B12FDE" w:rsidRPr="003131ED">
        <w:rPr>
          <w:sz w:val="22"/>
          <w:szCs w:val="22"/>
        </w:rPr>
        <w:t>transgenic mice</w:t>
      </w:r>
      <w:r w:rsidR="00F26DBA" w:rsidRPr="003131ED">
        <w:rPr>
          <w:sz w:val="22"/>
          <w:szCs w:val="22"/>
        </w:rPr>
        <w:t xml:space="preserve"> have been observed to induce prion-like spread of </w:t>
      </w:r>
      <w:r w:rsidR="00F26DBA" w:rsidRPr="003131ED">
        <w:rPr>
          <w:sz w:val="22"/>
          <w:szCs w:val="22"/>
        </w:rPr>
        <w:sym w:font="Symbol" w:char="F061"/>
      </w:r>
      <w:r w:rsidR="00F26DBA" w:rsidRPr="003131ED">
        <w:rPr>
          <w:sz w:val="22"/>
          <w:szCs w:val="22"/>
        </w:rPr>
        <w:t>-synuclein aggregates</w:t>
      </w:r>
      <w:r w:rsidR="0067606A" w:rsidRPr="003131ED">
        <w:rPr>
          <w:sz w:val="22"/>
          <w:szCs w:val="22"/>
        </w:rPr>
        <w:t xml:space="preserve"> </w:t>
      </w:r>
      <w:r w:rsidRPr="003131ED">
        <w:rPr>
          <w:sz w:val="22"/>
          <w:szCs w:val="22"/>
        </w:rPr>
        <w:t>by ‘seeding’ recruitment of endoge</w:t>
      </w:r>
      <w:r w:rsidR="004C71FD" w:rsidRPr="003131ED">
        <w:rPr>
          <w:sz w:val="22"/>
          <w:szCs w:val="22"/>
        </w:rPr>
        <w:t>nous soluble α-synuclein</w:t>
      </w:r>
      <w:r w:rsidR="00EA0FD8" w:rsidRPr="003131ED">
        <w:rPr>
          <w:sz w:val="22"/>
          <w:szCs w:val="22"/>
        </w:rPr>
        <w:t xml:space="preserve"> </w:t>
      </w:r>
      <w:r w:rsidR="00EA0FD8" w:rsidRPr="003131ED">
        <w:rPr>
          <w:sz w:val="22"/>
          <w:szCs w:val="22"/>
        </w:rPr>
        <w:fldChar w:fldCharType="begin" w:fldLock="1"/>
      </w:r>
      <w:r w:rsidR="00D86B9A" w:rsidRPr="003131ED">
        <w:rPr>
          <w:sz w:val="22"/>
          <w:szCs w:val="22"/>
        </w:rPr>
        <w:instrText>ADDIN CSL_CITATION {"citationItems":[{"id":"ITEM-1","itemData":{"DOI":"10.1016/j.neuron.2011.08.033","ISBN":"1097-4199 (Electronic)\\n0896-6273 (Linking)","ISSN":"08966273","PMID":"21982369","abstract":"Inclusions composed of ??-synuclein (??-syn), i.e., Lewy bodies (LBs) and Lewy neurites (LNs), define synucleinopathies including Parkinson's disease (PD) and dementia with Lewy bodies (DLB). Here, we demonstrate that preformed fibrils generated from full-length and truncated recombinant ??-syn enter primary neurons, probably by adsorptive-mediated endocytosis, and promote recruitment of soluble endogenous ??-syn into insoluble PD-like LBs and LNs. Remarkably, endogenous ??-syn was sufficient for formation of these aggregates, and overexpression of wild-type or mutant ??-syn was not required. LN-like pathology first developed in axons and propagated to form LB-like inclusions in perikarya. Accumulation of pathologic ??-syn led to selective decreases in synaptic proteins, progressive impairments in neuronal excitability and connectivity, and, eventually, neuron death. Thus, our data contribute important insights into the etiology and pathogenesis of PD-like ??-syn inclusions and their impact on neuronal functions, and they provide a model for discovering therapeutics targeting pathologic ??-syn-mediated neurodegeneration. ?? 2011 Elsevier Inc.","author":[{"dropping-particle":"","family":"Volpicelli-Daley","given":"Laura A.","non-dropping-particle":"","parse-names":false,"suffix":""},{"dropping-particle":"","family":"Luk","given":"Kelvin C.","non-dropping-particle":"","parse-names":false,"suffix":""},{"dropping-particle":"","family":"Patel","given":"Tapan P.","non-dropping-particle":"","parse-names":false,"suffix":""},{"dropping-particle":"","family":"Tanik","given":"Selcuk A.","non-dropping-particle":"","parse-names":false,"suffix":""},{"dropping-particle":"","family":"Riddle","given":"Dawn M.","non-dropping-particle":"","parse-names":false,"suffix":""},{"dropping-particle":"","family":"Stieber","given":"Anna","non-dropping-particle":"","parse-names":false,"suffix":""},{"dropping-particle":"","family":"Meaney","given":"David F.","non-dropping-particle":"","parse-names":false,"suffix":""},{"dropping-particle":"","family":"Trojanowski","given":"John Q.","non-dropping-particle":"","parse-names":false,"suffix":""},{"dropping-particle":"","family":"Lee","given":"Virginia M Y","non-dropping-particle":"","parse-names":false,"suffix":""}],"container-title":"Neuron","id":"ITEM-1","issue":"1","issued":{"date-parts":[["2011"]]},"page":"57-71","publisher":"Elsevier Inc.","title":"Exogenous Alpha-Synuclein Fibrils Induce Lewy Body Pathology Leading to Synaptic Dysfunction and Neuron Death","type":"article-journal","volume":"72"},"uris":["http://www.mendeley.com/documents/?uuid=1e32ad05-bde4-4b0f-a258-83be7b5739c1"]},{"id":"ITEM-2","itemData":{"DOI":"10.1073/pnas.0908005106","ISSN":"00278424","PMID":"19892735","abstract":"Cytoplasmic inclusions containing alpha-synuclein (alpha-Syn) fibrils, referred to as Lewy bodies (LBs), are the signature neuropathological hallmarks of Parkinson's disease (PD). Although alpha-Syn fibrils can be generated from recombinant alpha-Syn protein in vitro, the production of fibrillar alpha-Syn inclusions similar to authentic LBs in cultured cells has not been achieved. We show here that intracellular alpha-Syn aggregation can be triggered by the introduction of exogenously produced recombinant alpha-Syn fibrils into cultured cells engineered to overexpress alpha-Syn. Unlike unassembled alpha-Syn, these alpha-Syn fibrils \"seeded\" recruitment of endogenous soluble alpha-Syn protein and their conversion into insoluble, hyperphosphorylated, and ubiquitinated pathological species. Thus, this cell model recapitulates key features of LBs in human PD brains. Also, these findings support the concept that intracellular alpha-Syn aggregation is normally limited by the number of active nucleation sites present in the cytoplasm and that small quantities of alpha-Syn fibrils can alter this balance by acting as seeds for aggregation.","author":[{"dropping-particle":"","family":"Luk","given":"Kelvin C.","non-dropping-particle":"","parse-names":false,"suffix":""},{"dropping-particle":"","family":"Song","given":"Cheng","non-dropping-particle":"","parse-names":false,"suffix":""},{"dropping-particle":"","family":"O'Brien","given":"Patrick","non-dropping-particle":"","parse-names":false,"suffix":""},{"dropping-particle":"","family":"Stieber","given":"Anna","non-dropping-particle":"","parse-names":false,"suffix":""},{"dropping-particle":"","family":"Branch","given":"Jonathan R.","non-dropping-particle":"","parse-names":false,"suffix":""},{"dropping-particle":"","family":"Brunden","given":"Kurt R.","non-dropping-particle":"","parse-names":false,"suffix":""},{"dropping-particle":"","family":"Trojanowski","given":"John Q.","non-dropping-particle":"","parse-names":false,"suffix":""},{"dropping-particle":"","family":"Lee","given":"Virginia M.-Y.","non-dropping-particle":"","parse-names":false,"suffix":""}],"container-title":"Proceedings of the National Academy of Sciences of the United States of America","id":"ITEM-2","issue":"47","issued":{"date-parts":[["2009","11","24"]]},"page":"20051-20056","title":"Exogenous α-synuclein fibrils seed the formation of Lewy body-like intracellular inclusions in cultured cells","type":"article-journal","volume":"106"},"uris":["http://www.mendeley.com/documents/?uuid=a4e60ae6-7a6e-3a53-ba5b-e186e69de84a"]},{"id":"ITEM-3","itemData":{"DOI":"10.1038/nprot.2014.143","ISSN":"1754-2189","PMID":"25122523","abstract":"This protocol describes a primary neuronal model of formation of α-synuclein (α-syn) aggregates that recapitulate features of the Lewy bodies and Lewy neurites found in Parkinson's disease brains and other synucleinopathies. This model allows investigation of aggregate formation, their impact on neuron function, and development of therapeutics. Addition of preformed fibrils (PFFs) synthesized from recombinant α-syn to neurons seeds the recruitment of endogenous α-syn into aggregates characterized by detergent insolubility and hyperphosphorylation. Aggregate formation follows a lag phase of 2-3 d, followed by formation in axons by days 4-7, spread to somatodendritic compartments by days 7-10 and neuron death ~14 d after PFF addition. Here we provide methods and highlight the crucial steps for PFF formation, PFF addition to cultured hippocampal neurons and confirmation of aggregate formation. Neurons derived from various brain regions from nontransgenic and genetically engineered mice and rats can be used, allowing interrogation of the effect of specific genes on aggregate formation.","author":[{"dropping-particle":"","family":"Volpicelli-Daley","given":"Laura A","non-dropping-particle":"","parse-names":false,"suffix":""},{"dropping-particle":"","family":"Luk","given":"Kelvin C","non-dropping-particle":"","parse-names":false,"suffix":""},{"dropping-particle":"","family":"Lee","given":"Virginia M-Y","non-dropping-particle":"","parse-names":false,"suffix":""}],"container-title":"Nature Protocols","id":"ITEM-3","issue":"9","issued":{"date-parts":[["2014","9","14"]]},"page":"2135-2146","title":"Addition of exogenous α-synuclein preformed fibrils to primary neuronal cultures to seed recruitment of endogenous α-synuclein to Lewy body and Lewy neurite–like aggregates","type":"article-journal","volume":"9"},"uris":["http://www.mendeley.com/documents/?uuid=703023ab-d0e1-3af7-ab49-992672724e53"]}],"mendeley":{"formattedCitation":"(Volpicelli-Daley &lt;i&gt;et al.&lt;/i&gt; 2011; Luk &lt;i&gt;et al.&lt;/i&gt; 2009; Volpicelli-Daley &lt;i&gt;et al.&lt;/i&gt; 2014)","plainTextFormattedCitation":"(Volpicelli-Daley et al. 2011; Luk et al. 2009; Volpicelli-Daley et al. 2014)","previouslyFormattedCitation":"(Volpicelli-Daley &lt;i&gt;et al.&lt;/i&gt; 2011; Luk &lt;i&gt;et al.&lt;/i&gt; 2009; Volpicelli-Daley &lt;i&gt;et al.&lt;/i&gt; 2014)"},"properties":{"noteIndex":0},"schema":"https://github.com/citation-style-language/schema/raw/master/csl-citation.json"}</w:instrText>
      </w:r>
      <w:r w:rsidR="00EA0FD8" w:rsidRPr="003131ED">
        <w:rPr>
          <w:sz w:val="22"/>
          <w:szCs w:val="22"/>
        </w:rPr>
        <w:fldChar w:fldCharType="separate"/>
      </w:r>
      <w:r w:rsidR="00D86B9A" w:rsidRPr="003131ED">
        <w:rPr>
          <w:noProof/>
          <w:sz w:val="22"/>
          <w:szCs w:val="22"/>
        </w:rPr>
        <w:t xml:space="preserve">(Volpicelli-Daley </w:t>
      </w:r>
      <w:r w:rsidR="00D86B9A" w:rsidRPr="003131ED">
        <w:rPr>
          <w:i/>
          <w:noProof/>
          <w:sz w:val="22"/>
          <w:szCs w:val="22"/>
        </w:rPr>
        <w:t>et al.</w:t>
      </w:r>
      <w:r w:rsidR="00D86B9A" w:rsidRPr="003131ED">
        <w:rPr>
          <w:noProof/>
          <w:sz w:val="22"/>
          <w:szCs w:val="22"/>
        </w:rPr>
        <w:t xml:space="preserve"> 2011; Luk </w:t>
      </w:r>
      <w:r w:rsidR="00D86B9A" w:rsidRPr="003131ED">
        <w:rPr>
          <w:i/>
          <w:noProof/>
          <w:sz w:val="22"/>
          <w:szCs w:val="22"/>
        </w:rPr>
        <w:t>et al.</w:t>
      </w:r>
      <w:r w:rsidR="00D86B9A" w:rsidRPr="003131ED">
        <w:rPr>
          <w:noProof/>
          <w:sz w:val="22"/>
          <w:szCs w:val="22"/>
        </w:rPr>
        <w:t xml:space="preserve"> 2009; Volpicelli-Daley </w:t>
      </w:r>
      <w:r w:rsidR="00D86B9A" w:rsidRPr="003131ED">
        <w:rPr>
          <w:i/>
          <w:noProof/>
          <w:sz w:val="22"/>
          <w:szCs w:val="22"/>
        </w:rPr>
        <w:t>et al.</w:t>
      </w:r>
      <w:r w:rsidR="00D86B9A" w:rsidRPr="003131ED">
        <w:rPr>
          <w:noProof/>
          <w:sz w:val="22"/>
          <w:szCs w:val="22"/>
        </w:rPr>
        <w:t xml:space="preserve"> 2014)</w:t>
      </w:r>
      <w:r w:rsidR="00EA0FD8" w:rsidRPr="003131ED">
        <w:rPr>
          <w:sz w:val="22"/>
          <w:szCs w:val="22"/>
        </w:rPr>
        <w:fldChar w:fldCharType="end"/>
      </w:r>
      <w:r w:rsidR="00D07902" w:rsidRPr="003131ED">
        <w:rPr>
          <w:sz w:val="22"/>
          <w:szCs w:val="22"/>
        </w:rPr>
        <w:t xml:space="preserve">. </w:t>
      </w:r>
    </w:p>
    <w:p w14:paraId="7F35D5E4" w14:textId="77777777" w:rsidR="00EA0FD8" w:rsidRPr="003131ED" w:rsidRDefault="00EA0FD8" w:rsidP="00D0468C">
      <w:pPr>
        <w:spacing w:line="360" w:lineRule="auto"/>
        <w:jc w:val="both"/>
        <w:rPr>
          <w:sz w:val="22"/>
          <w:szCs w:val="22"/>
        </w:rPr>
      </w:pPr>
    </w:p>
    <w:p w14:paraId="26A62D7F" w14:textId="231FF352" w:rsidR="000B492F" w:rsidRPr="003131ED" w:rsidRDefault="00143D70" w:rsidP="00D0468C">
      <w:pPr>
        <w:spacing w:line="360" w:lineRule="auto"/>
        <w:jc w:val="both"/>
        <w:rPr>
          <w:sz w:val="22"/>
          <w:szCs w:val="22"/>
        </w:rPr>
      </w:pPr>
      <w:r w:rsidRPr="003131ED">
        <w:rPr>
          <w:rFonts w:eastAsia="Arial"/>
          <w:sz w:val="22"/>
          <w:szCs w:val="22"/>
        </w:rPr>
        <w:t xml:space="preserve">Autophagy is one of the main pathways for clearance of aggregated </w:t>
      </w:r>
      <w:r w:rsidRPr="003131ED">
        <w:rPr>
          <w:rFonts w:eastAsia="Arial"/>
          <w:sz w:val="22"/>
          <w:szCs w:val="22"/>
        </w:rPr>
        <w:sym w:font="Symbol" w:char="F061"/>
      </w:r>
      <w:r w:rsidR="00EA0FD8" w:rsidRPr="003131ED">
        <w:rPr>
          <w:rFonts w:eastAsia="Arial"/>
          <w:sz w:val="22"/>
          <w:szCs w:val="22"/>
        </w:rPr>
        <w:t xml:space="preserve">-synuclein and </w:t>
      </w:r>
      <w:r w:rsidRPr="003131ED">
        <w:rPr>
          <w:sz w:val="22"/>
          <w:szCs w:val="22"/>
        </w:rPr>
        <w:t>has been shown to be a vital homeostatic pathway in terminally differentiated cells such as neurons</w:t>
      </w:r>
      <w:r w:rsidR="002E7093" w:rsidRPr="003131ED">
        <w:rPr>
          <w:sz w:val="22"/>
          <w:szCs w:val="22"/>
        </w:rPr>
        <w:t xml:space="preserve"> </w:t>
      </w:r>
      <w:r w:rsidR="002E7093" w:rsidRPr="003131ED">
        <w:rPr>
          <w:sz w:val="22"/>
          <w:szCs w:val="22"/>
        </w:rPr>
        <w:fldChar w:fldCharType="begin" w:fldLock="1"/>
      </w:r>
      <w:r w:rsidR="00D86B9A" w:rsidRPr="003131ED">
        <w:rPr>
          <w:sz w:val="22"/>
          <w:szCs w:val="22"/>
        </w:rPr>
        <w:instrText>ADDIN CSL_CITATION {"citationItems":[{"id":"ITEM-1","itemData":{"DOI":"10.1074/jbc.M801992200","ISSN":"00219258","PMID":"18566453","abstract":"Alpha-synuclein (ASYN) is crucial in Parkinson disease (PD) pathogenesis. Increased levels of wild type (WT) ASYN expression are sufficient to cause PD in humans. The manner of post-transcriptional regulation of ASYN levels is controversial. Previously, we had shown that WT ASYN can be degraded by chaperone-mediated autophagy (CMA) in isolated liver lysosomes. Whether this occurs in a cellular and, in particular, in a neuronal cell context is unclear. Using a mutant ASYN form that lacks the CMA recognition motif and RNA interference against the rate-limiting step in the CMA pathway, Lamp2a, we show here that CMA is indeed involved in WT ASYN degradation in PC12 and SH-SY5Y cells, and in primary cortical and midbrain neurons. However, the extent of involvement varies between cell types, potentially because of differences in compensatory mechanisms. CMA inhibition leads to an accumulation of soluble high molecular weight and detergent-insoluble species of ASYN, suggesting that CMA dysfunction may play a role in the generation of such aberrant species in PD. ASYN and Lamp2a are developmentally regulated in parallel in cortical neuron cultures and in vivo in the central nervous system, and they physically interact as indicated by co-immunoprecipitation. In contrast to previous reports, inhibition of macroautophagy, but not the proteasome, also leads to WT ASYN accumulation, suggesting that this lysosomal pathway is also involved in normal ASYN turnover. These results indicate that CMA and macroautophagy are important pathways for WT ASYN degradation in neurons and underline the importance of CMA as degradation machinery in the nervous system.","author":[{"dropping-particle":"","family":"Vogiatzi","given":"Tereza","non-dropping-particle":"","parse-names":false,"suffix":""},{"dropping-particle":"","family":"Xilouri","given":"Maria","non-dropping-particle":"","parse-names":false,"suffix":""},{"dropping-particle":"","family":"Vekrellis","given":"Kostas","non-dropping-particle":"","parse-names":false,"suffix":""},{"dropping-particle":"","family":"Stefanis","given":"Leonidas","non-dropping-particle":"","parse-names":false,"suffix":""}],"container-title":"Journal of Biological Chemistry","id":"ITEM-1","issue":"35","issued":{"date-parts":[["2008","6","4"]]},"page":"23542-23556","title":"Wild type α-synuclein is degraded by chaperone-mediated autophagy and macroautophagy in neuronal cells","type":"article-journal","volume":"283"},"uris":["http://www.mendeley.com/documents/?uuid=9c74b000-f287-3c5f-ae23-de42446a99e6"]},{"id":"ITEM-2","itemData":{"DOI":"10.1038/nature04724","ISSN":"00280836","abstract":"Autophagy is an intracellular bulk degradation process through which a portion of the cytoplasm is delivered to lysosomes to be degraded. Although the primary role of autophagy in many organisms is in adaptation to starvation, autophagy is also thought to be important for normal turnover of cytoplasmic contents, particularly in quiescent cells such as neurons. Autophagy may have a protective role against the development of a number of neurodegenerative diseases. Here we report that loss of autophagy causes neurodegeneration even in the absence of any disease-associated mutant proteins. Mice deficient for Atg5 (autophagy-related 5) specifically in neural cells develop progressive deficits in motor function that are accompanied by the accumulation of cytoplasmic inclusion bodies in neurons. In Atg5-/- cells, diffuse, abnormal intracellular proteins accumulate, and then form aggregates and inclusions. These results suggest that the continuous clearance of diffuse cytosolic proteins through basal autophagy is important for preventing the accumulation of abnormal proteins, which can disrupt neural function and ultimately lead to neurodegeneration.","author":[{"dropping-particle":"","family":"Hara","given":"Taichi","non-dropping-particle":"","parse-names":false,"suffix":""},{"dropping-particle":"","family":"Nakamura","given":"Kenji","non-dropping-particle":"","parse-names":false,"suffix":""},{"dropping-particle":"","family":"Matsui","given":"Makoto","non-dropping-particle":"","parse-names":false,"suffix":""},{"dropping-particle":"","family":"Yamamoto","given":"Akitsugu","non-dropping-particle":"","parse-names":false,"suffix":""},{"dropping-particle":"","family":"Nakahara","given":"Yohko","non-dropping-particle":"","parse-names":false,"suffix":""},{"dropping-particle":"","family":"Suzuki-Migishima","given":"Rika","non-dropping-particle":"","parse-names":false,"suffix":""},{"dropping-particle":"","family":"Yokoyama","given":"Minesuke","non-dropping-particle":"","parse-names":false,"suffix":""},{"dropping-particle":"","family":"Mishima","given":"Kenji","non-dropping-particle":"","parse-names":false,"suffix":""},{"dropping-particle":"","family":"Saito","given":"Ichiro","non-dropping-particle":"","parse-names":false,"suffix":""},{"dropping-particle":"","family":"Okano","given":"Hideyuki","non-dropping-particle":"","parse-names":false,"suffix":""},{"dropping-particle":"","family":"Mizushima","given":"Noboru","non-dropping-particle":"","parse-names":false,"suffix":""}],"container-title":"Nature","id":"ITEM-2","issue":"7095","issued":{"date-parts":[["2006","6","15"]]},"page":"885-889","publisher":"Nature Publishing Group","title":"Suppression of basal autophagy in neural cells causes neurodegenerative disease in mice","type":"article-journal","volume":"441"},"uris":["http://www.mendeley.com/documents/?uuid=b686f7cd-be15-33e8-a504-d89cb99390d5"]},{"id":"ITEM-3","itemData":{"DOI":"10.1038/nature04723","ISSN":"00280836","PMID":"16625205","abstract":"Protein quality-control, especially the removal of proteins with aberrant structures, has an important role in maintaining the homeostasis of non-dividing neural cells. In addition to the ubiquitin-proteasome system, emerging evidence points to the importance of autophagy - the bulk protein degradation pathway involved in starvation-induced and constitutive protein turn-over - in the protein quality-control process. However, little is known about the precise roles of autophagy in neurons. Here we report that loss of Atg7 (autophagy-related 7), a gene essential for autophagy, leads to neurodegeneration. We found that mice lacking Atg7 specifically in the central nervous system showed behavioural defects, including abnormal limb-clasping reflexes and a reduction in coordinated movement, and died within 28 weeks of birth. Atg7 deficiency caused massive neuronal loss in the cerebral and cerebellar cortices. Notably, polyubiquitinated proteins accumulated in autophagy-deficient neurons as inclusion bodies, which increased in size and number with ageing. There was, however, no obvious alteration in proteasome function. Our results indicate that autophagy is essential for the survival of neural cells, and that impairment of autophagy is implicated in the pathogenesis of neurodegenerative disorders involving ubiquitin-containing inclusion bodies. © 2006 Nature Publishing Group.","author":[{"dropping-particle":"","family":"Komatsu","given":"Masaaki","non-dropping-particle":"","parse-names":false,"suffix":""},{"dropping-particle":"","family":"Waguri","given":"Satoshi","non-dropping-particle":"","parse-names":false,"suffix":""},{"dropping-particle":"","family":"Chiba","given":"Tomoki","non-dropping-particle":"","parse-names":false,"suffix":""},{"dropping-particle":"","family":"Murata","given":"Shigeo","non-dropping-particle":"","parse-names":false,"suffix":""},{"dropping-particle":"","family":"Iwata","given":"Jun Ichi","non-dropping-particle":"","parse-names":false,"suffix":""},{"dropping-particle":"","family":"Tanida","given":"Isei","non-dropping-particle":"","parse-names":false,"suffix":""},{"dropping-particle":"","family":"Ueno","given":"Takashi","non-dropping-particle":"","parse-names":false,"suffix":""},{"dropping-particle":"","family":"Koike","given":"Masato","non-dropping-particle":"","parse-names":false,"suffix":""},{"dropping-particle":"","family":"Uchiyama","given":"Yasuo","non-dropping-particle":"","parse-names":false,"suffix":""},{"dropping-particle":"","family":"Kominami","given":"Eiki","non-dropping-particle":"","parse-names":false,"suffix":""},{"dropping-particle":"","family":"Tanaka","given":"Keiji","non-dropping-particle":"","parse-names":false,"suffix":""}],"container-title":"Nature","id":"ITEM-3","issue":"7095","issued":{"date-parts":[["2006","6","15"]]},"page":"880-884","title":"Loss of autophagy in the central nervous system causes neurodegeneration in mice","type":"article-journal","volume":"441"},"uris":["http://www.mendeley.com/documents/?uuid=799dca85-b448-3f1b-99b6-74553a8eb83c"]}],"mendeley":{"formattedCitation":"(Vogiatzi &lt;i&gt;et al.&lt;/i&gt; 2008; Hara &lt;i&gt;et al.&lt;/i&gt; 2006; Komatsu &lt;i&gt;et al.&lt;/i&gt; 2006)","plainTextFormattedCitation":"(Vogiatzi et al. 2008; Hara et al. 2006; Komatsu et al. 2006)","previouslyFormattedCitation":"(Vogiatzi &lt;i&gt;et al.&lt;/i&gt; 2008; Hara &lt;i&gt;et al.&lt;/i&gt; 2006; Komatsu &lt;i&gt;et al.&lt;/i&gt; 2006)"},"properties":{"noteIndex":0},"schema":"https://github.com/citation-style-language/schema/raw/master/csl-citation.json"}</w:instrText>
      </w:r>
      <w:r w:rsidR="002E7093" w:rsidRPr="003131ED">
        <w:rPr>
          <w:sz w:val="22"/>
          <w:szCs w:val="22"/>
        </w:rPr>
        <w:fldChar w:fldCharType="separate"/>
      </w:r>
      <w:r w:rsidR="00D86B9A" w:rsidRPr="003131ED">
        <w:rPr>
          <w:noProof/>
          <w:sz w:val="22"/>
          <w:szCs w:val="22"/>
        </w:rPr>
        <w:t xml:space="preserve">(Vogiatzi </w:t>
      </w:r>
      <w:r w:rsidR="00D86B9A" w:rsidRPr="003131ED">
        <w:rPr>
          <w:i/>
          <w:noProof/>
          <w:sz w:val="22"/>
          <w:szCs w:val="22"/>
        </w:rPr>
        <w:t>et al.</w:t>
      </w:r>
      <w:r w:rsidR="00D86B9A" w:rsidRPr="003131ED">
        <w:rPr>
          <w:noProof/>
          <w:sz w:val="22"/>
          <w:szCs w:val="22"/>
        </w:rPr>
        <w:t xml:space="preserve"> 2008; Hara </w:t>
      </w:r>
      <w:r w:rsidR="00D86B9A" w:rsidRPr="003131ED">
        <w:rPr>
          <w:i/>
          <w:noProof/>
          <w:sz w:val="22"/>
          <w:szCs w:val="22"/>
        </w:rPr>
        <w:t>et al.</w:t>
      </w:r>
      <w:r w:rsidR="00D86B9A" w:rsidRPr="003131ED">
        <w:rPr>
          <w:noProof/>
          <w:sz w:val="22"/>
          <w:szCs w:val="22"/>
        </w:rPr>
        <w:t xml:space="preserve"> 2006; Komatsu </w:t>
      </w:r>
      <w:r w:rsidR="00D86B9A" w:rsidRPr="003131ED">
        <w:rPr>
          <w:i/>
          <w:noProof/>
          <w:sz w:val="22"/>
          <w:szCs w:val="22"/>
        </w:rPr>
        <w:t>et al.</w:t>
      </w:r>
      <w:r w:rsidR="00D86B9A" w:rsidRPr="003131ED">
        <w:rPr>
          <w:noProof/>
          <w:sz w:val="22"/>
          <w:szCs w:val="22"/>
        </w:rPr>
        <w:t xml:space="preserve"> 2006)</w:t>
      </w:r>
      <w:r w:rsidR="002E7093" w:rsidRPr="003131ED">
        <w:rPr>
          <w:sz w:val="22"/>
          <w:szCs w:val="22"/>
        </w:rPr>
        <w:fldChar w:fldCharType="end"/>
      </w:r>
      <w:r w:rsidR="0098704E" w:rsidRPr="003131ED">
        <w:rPr>
          <w:sz w:val="22"/>
          <w:szCs w:val="22"/>
        </w:rPr>
        <w:t xml:space="preserve">. </w:t>
      </w:r>
      <w:proofErr w:type="spellStart"/>
      <w:r w:rsidR="005A2880" w:rsidRPr="003131ED">
        <w:rPr>
          <w:sz w:val="22"/>
          <w:szCs w:val="22"/>
        </w:rPr>
        <w:t>Macroautophagy</w:t>
      </w:r>
      <w:proofErr w:type="spellEnd"/>
      <w:r w:rsidR="005A2880" w:rsidRPr="003131ED">
        <w:rPr>
          <w:sz w:val="22"/>
          <w:szCs w:val="22"/>
        </w:rPr>
        <w:t xml:space="preserve"> is the ‘classical’ autophagy pathway </w:t>
      </w:r>
      <w:r w:rsidR="00FC4C22" w:rsidRPr="003131ED">
        <w:rPr>
          <w:sz w:val="22"/>
          <w:szCs w:val="22"/>
        </w:rPr>
        <w:t>involving</w:t>
      </w:r>
      <w:r w:rsidR="005A2880" w:rsidRPr="003131ED">
        <w:rPr>
          <w:sz w:val="22"/>
          <w:szCs w:val="22"/>
        </w:rPr>
        <w:t xml:space="preserve"> autophagosome formation followed by fusion with the lysosome. This study focuses on </w:t>
      </w:r>
      <w:proofErr w:type="spellStart"/>
      <w:r w:rsidR="005A2880" w:rsidRPr="003131ED">
        <w:rPr>
          <w:sz w:val="22"/>
          <w:szCs w:val="22"/>
        </w:rPr>
        <w:t>macroautophagy</w:t>
      </w:r>
      <w:proofErr w:type="spellEnd"/>
      <w:r w:rsidR="005A2880" w:rsidRPr="003131ED">
        <w:rPr>
          <w:sz w:val="22"/>
          <w:szCs w:val="22"/>
        </w:rPr>
        <w:t xml:space="preserve"> as the pathway of α-synuclein degradation</w:t>
      </w:r>
      <w:r w:rsidR="005C7EF5" w:rsidRPr="003131ED">
        <w:rPr>
          <w:sz w:val="22"/>
          <w:szCs w:val="22"/>
        </w:rPr>
        <w:t xml:space="preserve">. </w:t>
      </w:r>
      <w:r w:rsidR="0098704E" w:rsidRPr="003131ED">
        <w:rPr>
          <w:sz w:val="22"/>
          <w:szCs w:val="22"/>
        </w:rPr>
        <w:t>Nutrient-</w:t>
      </w:r>
      <w:r w:rsidRPr="003131ED">
        <w:rPr>
          <w:sz w:val="22"/>
          <w:szCs w:val="22"/>
        </w:rPr>
        <w:t>sensitive mTORC1 is the main negative regulator of autophagy through its interaction with autopha</w:t>
      </w:r>
      <w:r w:rsidR="00BB5F71" w:rsidRPr="003131ED">
        <w:rPr>
          <w:sz w:val="22"/>
          <w:szCs w:val="22"/>
        </w:rPr>
        <w:t xml:space="preserve">gy initiating ULK1 complex </w:t>
      </w:r>
      <w:r w:rsidR="00BB5F71" w:rsidRPr="003131ED">
        <w:rPr>
          <w:sz w:val="22"/>
          <w:szCs w:val="22"/>
        </w:rPr>
        <w:fldChar w:fldCharType="begin" w:fldLock="1"/>
      </w:r>
      <w:r w:rsidR="00D86B9A" w:rsidRPr="003131ED">
        <w:rPr>
          <w:sz w:val="22"/>
          <w:szCs w:val="22"/>
        </w:rPr>
        <w:instrText>ADDIN CSL_CITATION {"citationItems":[{"id":"ITEM-1","itemData":{"DOI":"10.1091/mbc.E08-12-1249","ISSN":"10591524","PMID":"19225151","abstract":"Autophagy, the starvation-induced degradation of bulky cytosolic components, is up-regulated in mammalian cells when nutrient supplies are limited. Although mammalian target of rapamycin (mTOR) is known as the key regulator of autophagy induction, the mechanism by which mTOR regulates autophagy has remained elusive. Here, we identify that mTOR phosphorylates a mammalian homologue of Atg13 and the mammalian Atg1 homologues ULK1 and ULK2. The mammalian Atg13 binds both ULK1 and ULK2 and mediates the interaction of the ULK proteins with FIP200. The binding of Atg13 stabilizes and activates ULK and facilitates the phosphorylation of FIP200 by ULK, whereas knockdown of Atg13 inhibits autophagosome formation. Inhibition of mTOR by rapamycin or leucine deprivation, the conditions that induce autophagy, leads to dephosphorylation of ULK1, ULK2, and Atg13 and activates ULK to phosphorylate FIP200. These findings demonstrate that the ULK-Atg13-FIP200 complexes are direct targets of mTOR and important regulators of autophagy in response to mTOR signaling.","author":[{"dropping-particle":"","family":"Jung","given":"Chang Hwa","non-dropping-particle":"","parse-names":false,"suffix":""},{"dropping-particle":"","family":"Jun","given":"Chang Bong","non-dropping-particle":"","parse-names":false,"suffix":""},{"dropping-particle":"","family":"Ro","given":"Seung Hyun","non-dropping-particle":"","parse-names":false,"suffix":""},{"dropping-particle":"","family":"Kim","given":"Young Mi","non-dropping-particle":"","parse-names":false,"suffix":""},{"dropping-particle":"","family":"Otto","given":"Neil Michael","non-dropping-particle":"","parse-names":false,"suffix":""},{"dropping-particle":"","family":"Cao","given":"Jing","non-dropping-particle":"","parse-names":false,"suffix":""},{"dropping-particle":"","family":"Kundu","given":"Mondira","non-dropping-particle":"","parse-names":false,"suffix":""},{"dropping-particle":"","family":"Kim","given":"Do Hyung","non-dropping-particle":"","parse-names":false,"suffix":""}],"container-title":"Molecular Biology of the Cell","editor":[{"dropping-particle":"","family":"Schmid","given":"Sandra L.","non-dropping-particle":"","parse-names":false,"suffix":""}],"id":"ITEM-1","issue":"7","issued":{"date-parts":[["2009","4"]]},"page":"1992-2003","title":"ULK-Atg13-FIP200 complexes mediate mTOR signaling to the autophagy machinery","type":"article-journal","volume":"20"},"uris":["http://www.mendeley.com/documents/?uuid=4ab2431c-8a26-3a5f-84cf-30d02a8f288d"]},{"id":"ITEM-2","itemData":{"DOI":"10.1016/j.cellsig.2014.08.019","ISSN":"18733913","abstract":"Disruption of autophagy plays an import role in neurodegenerative disorders, where deficient elimination of abnormal and toxic protein aggregates promotes cellular stress, failure and death. Therefore, induction of autophagy has been proposed as a reasonable strategy to help neurons clear abnormal protein aggregates and survive. The kinase mammalian target of rapamycin (mTOR) is a major regulator of the autophagic process and is regulated by starvation, growth factors, and cellular stressors. Upstream of mTOR the survival PI3K/AKT pathway modulates mTOR activity that is also altered in neurodegenerative diseases of Alzheimer and Parkinson. Nevertheless, the interplay between the PI3K/AKT/mTOR pathway and the autophagic process is complex and a more detailed examination of tissue from patients suffering neurodegenerative diseases and of animal and cellular models is needed. In the present work we review the recent findings on the role of the PI3K/AKT/mTOR pathway in the modulation of the autophagic process in neuronal protection.","author":[{"dropping-particle":"","family":"Heras-Sandoval","given":"David","non-dropping-particle":"","parse-names":false,"suffix":""},{"dropping-particle":"","family":"Pérez-Rojas","given":"Jazmin M.","non-dropping-particle":"","parse-names":false,"suffix":""},{"dropping-particle":"","family":"Hernández-Damián","given":"Jacqueline","non-dropping-particle":"","parse-names":false,"suffix":""},{"dropping-particle":"","family":"Pedraza-Chaverri","given":"José","non-dropping-particle":"","parse-names":false,"suffix":""}],"container-title":"Cellular Signalling","id":"ITEM-2","issue":"12","issued":{"date-parts":[["2014","12","1"]]},"page":"2694-2701","publisher":"Pergamon","title":"The role of PI3K/AKT/mTOR pathway in the modulation of autophagy and the clearance of protein aggregates in neurodegeneration","type":"article","volume":"26"},"uris":["http://www.mendeley.com/documents/?uuid=77469fd7-2269-310a-b4d0-63bb5ce0f081"]}],"mendeley":{"formattedCitation":"(Jung &lt;i&gt;et al.&lt;/i&gt; 2009; Heras-Sandoval &lt;i&gt;et al.&lt;/i&gt; 2014)","plainTextFormattedCitation":"(Jung et al. 2009; Heras-Sandoval et al. 2014)","previouslyFormattedCitation":"(Jung &lt;i&gt;et al.&lt;/i&gt; 2009; Heras-Sandoval &lt;i&gt;et al.&lt;/i&gt; 2014)"},"properties":{"noteIndex":0},"schema":"https://github.com/citation-style-language/schema/raw/master/csl-citation.json"}</w:instrText>
      </w:r>
      <w:r w:rsidR="00BB5F71" w:rsidRPr="003131ED">
        <w:rPr>
          <w:sz w:val="22"/>
          <w:szCs w:val="22"/>
        </w:rPr>
        <w:fldChar w:fldCharType="separate"/>
      </w:r>
      <w:r w:rsidR="00D86B9A" w:rsidRPr="003131ED">
        <w:rPr>
          <w:noProof/>
          <w:sz w:val="22"/>
          <w:szCs w:val="22"/>
        </w:rPr>
        <w:t xml:space="preserve">(Jung </w:t>
      </w:r>
      <w:r w:rsidR="00D86B9A" w:rsidRPr="003131ED">
        <w:rPr>
          <w:i/>
          <w:noProof/>
          <w:sz w:val="22"/>
          <w:szCs w:val="22"/>
        </w:rPr>
        <w:t>et al.</w:t>
      </w:r>
      <w:r w:rsidR="00D86B9A" w:rsidRPr="003131ED">
        <w:rPr>
          <w:noProof/>
          <w:sz w:val="22"/>
          <w:szCs w:val="22"/>
        </w:rPr>
        <w:t xml:space="preserve"> 2009; Heras-Sandoval </w:t>
      </w:r>
      <w:r w:rsidR="00D86B9A" w:rsidRPr="003131ED">
        <w:rPr>
          <w:i/>
          <w:noProof/>
          <w:sz w:val="22"/>
          <w:szCs w:val="22"/>
        </w:rPr>
        <w:t>et al.</w:t>
      </w:r>
      <w:r w:rsidR="00D86B9A" w:rsidRPr="003131ED">
        <w:rPr>
          <w:noProof/>
          <w:sz w:val="22"/>
          <w:szCs w:val="22"/>
        </w:rPr>
        <w:t xml:space="preserve"> 2014)</w:t>
      </w:r>
      <w:r w:rsidR="00BB5F71" w:rsidRPr="003131ED">
        <w:rPr>
          <w:sz w:val="22"/>
          <w:szCs w:val="22"/>
        </w:rPr>
        <w:fldChar w:fldCharType="end"/>
      </w:r>
      <w:r w:rsidRPr="003131ED">
        <w:rPr>
          <w:sz w:val="22"/>
          <w:szCs w:val="22"/>
        </w:rPr>
        <w:t>. REDD1 inhibits mTORC1 and induction of REDD1 expression has been associated with hypoxia, ER s</w:t>
      </w:r>
      <w:r w:rsidR="008F211E" w:rsidRPr="003131ED">
        <w:rPr>
          <w:sz w:val="22"/>
          <w:szCs w:val="22"/>
        </w:rPr>
        <w:t xml:space="preserve">tress, and iron chelation </w:t>
      </w:r>
      <w:r w:rsidR="008F211E" w:rsidRPr="003131ED">
        <w:rPr>
          <w:sz w:val="22"/>
          <w:szCs w:val="22"/>
        </w:rPr>
        <w:fldChar w:fldCharType="begin" w:fldLock="1"/>
      </w:r>
      <w:r w:rsidR="00D86B9A" w:rsidRPr="003131ED">
        <w:rPr>
          <w:sz w:val="22"/>
          <w:szCs w:val="22"/>
        </w:rPr>
        <w:instrText>ADDIN CSL_CITATION {"citationItems":[{"id":"ITEM-1","itemData":{"DOI":"10.1111/j.1349-7006.2009.01131.x","ISSN":"13479032","PMID":"19298223","abstract":"To evaluate the effect of deferasirox in human myeloid leukemia cells, and to identify the moleclular pathways responsible for antiproliferative effects on leukemia cells during chelation therapy, we performed gene expression profiling to focus on the pathway involved in the anticancer effect of deferasirox. The inhibitory concentration (IC 50 ) of deferasirox was 17-50 μM in three human myeloid cell lines (K562, U937, and HL60), while those in fresh leukemia cells obtained from four patients it varied from 88 to 172 μM. Gene expression profiling using Affymerix GeneChips (U133 Plus 2.0) revealed up-regulation of cyclin-dependent kinase inhibitor 1A (CDKN1A) encoding p21 CIP , genes regulating interferon (i.e. IFIT1). Pathways related to iron metabolism and hypoxia such as growth differentiation factor 15 (GDF-15) and Regulated in development and DNA damage response (REDD1) were also prominent. Based on the results obtained from gene expression profiling, we particularly focused on the REDD1/mTOR (mammalian target of rapamycin) pathway in deferasirox-treated K562 cells, and found an enhanced expression of REDD1 and its down-stream protein, tuberin (TSC2). Notably, S6 ribosomal protein as well as phosphorylated S6, which is known to be a target of mTOR, was significantly repressed in deferasirox-treated K562 cells, and REDD1 small interfering RNA restored phosphorylation of S6. Although iron chelation may affect multiple signaling pathways related to cell survival, our data support the conclusion that REDD1 functions up-stream of tuberin to down-regulate the mTOR pathway in response to deferasirox. Deferasirox might not only have benefit for iron chelation but also may be an antiproliferative agent in some myeloid leukemias, especially patients who need both iron chelation and reduction of leukemia cells. © 2009 Japanese Cancer Association.","author":[{"dropping-particle":"","family":"Ohyashiki","given":"Junko H.","non-dropping-particle":"","parse-names":false,"suffix":""},{"dropping-particle":"","family":"Kobayashi","given":"Chiaki","non-dropping-particle":"","parse-names":false,"suffix":""},{"dropping-particle":"","family":"Hamamura","given":"Ryoko","non-dropping-particle":"","parse-names":false,"suffix":""},{"dropping-particle":"","family":"Okabe","given":"Seiichi","non-dropping-particle":"","parse-names":false,"suffix":""},{"dropping-particle":"","family":"Tauchi","given":"Tetsuzo","non-dropping-particle":"","parse-names":false,"suffix":""},{"dropping-particle":"","family":"Ohyashiki","given":"Kazuma","non-dropping-particle":"","parse-names":false,"suffix":""}],"container-title":"Cancer Science","id":"ITEM-1","issue":"5","issued":{"date-parts":[["2009","5"]]},"page":"970-977","title":"The oral iron chelator deferasirox represses signaling through the mTOR in myeloid leukemia cells by enhancing expression of REDD1","type":"article-journal","volume":"100"},"uris":["http://www.mendeley.com/documents/?uuid=d42b66b9-4766-39d3-b3fe-73c7692d4998"]},{"id":"ITEM-2","itemData":{"DOI":"10.1016/j.cellsig.2013.08.038","ISSN":"08986568","PMID":"24018049","abstract":"Regulated in DNA damage and development 1 (REDD1) functions to repress signaling through the mechanistic target of rapamycin (mTOR) protein kinase in complex 1 (mTORC1) in response to diverse stress conditions. In the present study, we investigated the role of REDD1 in the response of cells to growth cessation induced by serum deprivation. REDD1 expression was induced within 2. h of depriving cells of serum, with the induction being mediated through ER stress, as evidenced by activation of PERK, enhanced eIF2α phosphorylation, and ATF4 facilitated transcription of the REDD1 gene. In wild-type cells, signaling through mTORC1 was rapidly (within 30. min) repressed in response to serum deprivation and the repression was sustained for at least 10. h. In contrast, in REDD1 knockout cells mTORC1 signaling recovered toward the end of the 10. h-deprivation period. Interestingly, Akt phosphorylation initially declined in response to serum deprivation and then recovered between 2 and 4. h in wild-type but not REDD1 knockout cells. The recovery of mTORC1 signaling and the failure of Akt phosphorylation to do so in the REDD1 knockout cells were accompanied by a dramatic increase in caspase-3 cleavage and cell death, both of which were blocked by rapamycin. Furthermore, overexpression of constitutively active Akt rescued REDD1 knockout cells from serum deprivation induced cell death. Overall, the results implicate REDD1 as a key regulatory checkpoint that coordinates growth signaling inputs to activate pro-survival mechanisms and reduce susceptibility to cell death. © 2013.","author":[{"dropping-particle":"","family":"Dennis","given":"Michael D.","non-dropping-particle":"","parse-names":false,"suffix":""},{"dropping-particle":"","family":"McGhee","given":"Nora K.","non-dropping-particle":"","parse-names":false,"suffix":""},{"dropping-particle":"","family":"Jefferson","given":"Leonard S.","non-dropping-particle":"","parse-names":false,"suffix":""},{"dropping-particle":"","family":"Kimball","given":"Scot R.","non-dropping-particle":"","parse-names":false,"suffix":""}],"container-title":"Cellular Signalling","id":"ITEM-2","issue":"12","issued":{"date-parts":[["2013","12"]]},"page":"2709-2716","title":"Regulated in DNA damage and development 1 (REDD1) promotes cell survival during serum deprivation by sustaining repression of signaling through the mechanistic target of rapamycin in complex 1 (mTORC1)","type":"article-journal","volume":"25"},"uris":["http://www.mendeley.com/documents/?uuid=b7cfe1de-d41f-31d8-9c8c-0f9cbe11fbc6"]},{"id":"ITEM-3","itemData":{"DOI":"10.1016/j.bbrc.2008.12.079","ISSN":"0006291X","PMID":"19114033","abstract":"In response to a variety of cell stresses, e.g. endoplasmic reticulum (ER) stress, expression of REDD1 (regulated in development and DNA damage responses) is transcriptionally upregulated. However, the mechanism through which ER stress acts to upregulate REDD1 expression is unknown. In the present study, REDD1 expression was found to be upregulated by ER stress in several cell lines. However, in MEF cells lacking the eIF2α kinase PERK, ER stress failed to upregulate REDD1 expression, demonstrating that phosphorylation of eIF2α was necessary for the effect. Moreover, ER stress led to upregulated expression of the transcription factor ATF4, but in MEF cells lacking ATF4, REDD1 mRNA expression was not increased by ER stress. In contrast, exogenous expression of ATF4 was sufficient to induce REDD1 expression. Overall, the results suggest that REDD1 expression is upregulated during ER stress through a mechanism involving activation of PERK, phosphorylation of eIF2α, and increased ATF4 expression. © 2008 Elsevier Inc. All rights reserved.","author":[{"dropping-particle":"","family":"Whitney","given":"Michael L.","non-dropping-particle":"","parse-names":false,"suffix":""},{"dropping-particle":"","family":"Jefferson","given":"Leonard S.","non-dropping-particle":"","parse-names":false,"suffix":""},{"dropping-particle":"","family":"Kimball","given":"Scot R.","non-dropping-particle":"","parse-names":false,"suffix":""}],"container-title":"Biochemical and Biophysical Research Communications","id":"ITEM-3","issue":"2","issued":{"date-parts":[["2009","2","6"]]},"page":"451-455","title":"ATF4 is necessary and sufficient for ER stress-induced upregulation of REDD1 expression","type":"article-journal","volume":"379"},"uris":["http://www.mendeley.com/documents/?uuid=10d41286-fb63-320e-8e20-c9524e2ece9f"]}],"mendeley":{"formattedCitation":"(Ohyashiki &lt;i&gt;et al.&lt;/i&gt; 2009; Dennis &lt;i&gt;et al.&lt;/i&gt; 2013; Whitney &lt;i&gt;et al.&lt;/i&gt; 2009)","plainTextFormattedCitation":"(Ohyashiki et al. 2009; Dennis et al. 2013; Whitney et al. 2009)","previouslyFormattedCitation":"(Ohyashiki &lt;i&gt;et al.&lt;/i&gt; 2009; Dennis &lt;i&gt;et al.&lt;/i&gt; 2013; Whitney &lt;i&gt;et al.&lt;/i&gt; 2009)"},"properties":{"noteIndex":0},"schema":"https://github.com/citation-style-language/schema/raw/master/csl-citation.json"}</w:instrText>
      </w:r>
      <w:r w:rsidR="008F211E" w:rsidRPr="003131ED">
        <w:rPr>
          <w:sz w:val="22"/>
          <w:szCs w:val="22"/>
        </w:rPr>
        <w:fldChar w:fldCharType="separate"/>
      </w:r>
      <w:r w:rsidR="00D86B9A" w:rsidRPr="003131ED">
        <w:rPr>
          <w:noProof/>
          <w:sz w:val="22"/>
          <w:szCs w:val="22"/>
        </w:rPr>
        <w:t xml:space="preserve">(Ohyashiki </w:t>
      </w:r>
      <w:r w:rsidR="00D86B9A" w:rsidRPr="003131ED">
        <w:rPr>
          <w:i/>
          <w:noProof/>
          <w:sz w:val="22"/>
          <w:szCs w:val="22"/>
        </w:rPr>
        <w:t>et al.</w:t>
      </w:r>
      <w:r w:rsidR="00D86B9A" w:rsidRPr="003131ED">
        <w:rPr>
          <w:noProof/>
          <w:sz w:val="22"/>
          <w:szCs w:val="22"/>
        </w:rPr>
        <w:t xml:space="preserve"> 2009; Dennis </w:t>
      </w:r>
      <w:r w:rsidR="00D86B9A" w:rsidRPr="003131ED">
        <w:rPr>
          <w:i/>
          <w:noProof/>
          <w:sz w:val="22"/>
          <w:szCs w:val="22"/>
        </w:rPr>
        <w:t>et al.</w:t>
      </w:r>
      <w:r w:rsidR="00D86B9A" w:rsidRPr="003131ED">
        <w:rPr>
          <w:noProof/>
          <w:sz w:val="22"/>
          <w:szCs w:val="22"/>
        </w:rPr>
        <w:t xml:space="preserve"> 2013; Whitney </w:t>
      </w:r>
      <w:r w:rsidR="00D86B9A" w:rsidRPr="003131ED">
        <w:rPr>
          <w:i/>
          <w:noProof/>
          <w:sz w:val="22"/>
          <w:szCs w:val="22"/>
        </w:rPr>
        <w:t>et al.</w:t>
      </w:r>
      <w:r w:rsidR="00D86B9A" w:rsidRPr="003131ED">
        <w:rPr>
          <w:noProof/>
          <w:sz w:val="22"/>
          <w:szCs w:val="22"/>
        </w:rPr>
        <w:t xml:space="preserve"> 2009)</w:t>
      </w:r>
      <w:r w:rsidR="008F211E" w:rsidRPr="003131ED">
        <w:rPr>
          <w:sz w:val="22"/>
          <w:szCs w:val="22"/>
        </w:rPr>
        <w:fldChar w:fldCharType="end"/>
      </w:r>
      <w:r w:rsidRPr="003131ED">
        <w:rPr>
          <w:sz w:val="22"/>
          <w:szCs w:val="22"/>
        </w:rPr>
        <w:t xml:space="preserve">. Autophagy has been a focal point of investigations in the context of </w:t>
      </w:r>
      <w:r w:rsidR="00872B40" w:rsidRPr="003131ED">
        <w:rPr>
          <w:sz w:val="22"/>
          <w:szCs w:val="22"/>
        </w:rPr>
        <w:t>Parkinson’s disease</w:t>
      </w:r>
      <w:r w:rsidRPr="003131ED">
        <w:rPr>
          <w:sz w:val="22"/>
          <w:szCs w:val="22"/>
        </w:rPr>
        <w:t xml:space="preserve"> pathogenesis </w:t>
      </w:r>
      <w:r w:rsidR="00205A22" w:rsidRPr="003131ED">
        <w:rPr>
          <w:sz w:val="22"/>
          <w:szCs w:val="22"/>
        </w:rPr>
        <w:t xml:space="preserve">in part </w:t>
      </w:r>
      <w:r w:rsidRPr="003131ED">
        <w:rPr>
          <w:sz w:val="22"/>
          <w:szCs w:val="22"/>
        </w:rPr>
        <w:t xml:space="preserve">due to the high prevalence of </w:t>
      </w:r>
      <w:r w:rsidR="00542B23" w:rsidRPr="003131ED">
        <w:rPr>
          <w:sz w:val="22"/>
          <w:szCs w:val="22"/>
        </w:rPr>
        <w:t>glucocerebrosidase</w:t>
      </w:r>
      <w:r w:rsidR="00872B40" w:rsidRPr="003131ED">
        <w:rPr>
          <w:sz w:val="22"/>
          <w:szCs w:val="22"/>
        </w:rPr>
        <w:t xml:space="preserve"> </w:t>
      </w:r>
      <w:r w:rsidR="00FB661E" w:rsidRPr="003131ED">
        <w:rPr>
          <w:sz w:val="22"/>
          <w:szCs w:val="22"/>
        </w:rPr>
        <w:t>(</w:t>
      </w:r>
      <w:r w:rsidR="00FB661E" w:rsidRPr="003131ED">
        <w:rPr>
          <w:i/>
          <w:sz w:val="22"/>
          <w:szCs w:val="22"/>
        </w:rPr>
        <w:t>GBA</w:t>
      </w:r>
      <w:r w:rsidR="00FB661E" w:rsidRPr="003131ED">
        <w:rPr>
          <w:sz w:val="22"/>
          <w:szCs w:val="22"/>
        </w:rPr>
        <w:t>)</w:t>
      </w:r>
      <w:r w:rsidR="00FB661E" w:rsidRPr="003131ED">
        <w:rPr>
          <w:i/>
          <w:sz w:val="22"/>
          <w:szCs w:val="22"/>
        </w:rPr>
        <w:t xml:space="preserve"> </w:t>
      </w:r>
      <w:r w:rsidRPr="003131ED">
        <w:rPr>
          <w:sz w:val="22"/>
          <w:szCs w:val="22"/>
        </w:rPr>
        <w:t xml:space="preserve">mutations in the </w:t>
      </w:r>
      <w:r w:rsidR="009E1A43" w:rsidRPr="003131ED">
        <w:rPr>
          <w:sz w:val="22"/>
          <w:szCs w:val="22"/>
        </w:rPr>
        <w:t>Parkinson’s disease</w:t>
      </w:r>
      <w:r w:rsidRPr="003131ED">
        <w:rPr>
          <w:sz w:val="22"/>
          <w:szCs w:val="22"/>
        </w:rPr>
        <w:t xml:space="preserve"> population. </w:t>
      </w:r>
      <w:r w:rsidRPr="003131ED">
        <w:rPr>
          <w:i/>
          <w:sz w:val="22"/>
          <w:szCs w:val="22"/>
        </w:rPr>
        <w:t>GBA</w:t>
      </w:r>
      <w:r w:rsidR="00CF1A80" w:rsidRPr="003131ED">
        <w:rPr>
          <w:sz w:val="22"/>
          <w:szCs w:val="22"/>
        </w:rPr>
        <w:t xml:space="preserve"> </w:t>
      </w:r>
      <w:r w:rsidR="009E1A43" w:rsidRPr="003131ED">
        <w:rPr>
          <w:sz w:val="22"/>
          <w:szCs w:val="22"/>
        </w:rPr>
        <w:t xml:space="preserve">mutation is </w:t>
      </w:r>
      <w:r w:rsidRPr="003131ED">
        <w:rPr>
          <w:sz w:val="22"/>
          <w:szCs w:val="22"/>
        </w:rPr>
        <w:t xml:space="preserve">the most common genetic risk factor for </w:t>
      </w:r>
      <w:r w:rsidR="009E1A43" w:rsidRPr="003131ED">
        <w:rPr>
          <w:sz w:val="22"/>
          <w:szCs w:val="22"/>
        </w:rPr>
        <w:t>Parkinson’s disease</w:t>
      </w:r>
      <w:r w:rsidR="008F211E" w:rsidRPr="003131ED">
        <w:rPr>
          <w:sz w:val="22"/>
          <w:szCs w:val="22"/>
        </w:rPr>
        <w:t xml:space="preserve"> </w:t>
      </w:r>
      <w:r w:rsidR="008F211E" w:rsidRPr="003131ED">
        <w:rPr>
          <w:sz w:val="22"/>
          <w:szCs w:val="22"/>
        </w:rPr>
        <w:fldChar w:fldCharType="begin" w:fldLock="1"/>
      </w:r>
      <w:r w:rsidR="00D86B9A" w:rsidRPr="003131ED">
        <w:rPr>
          <w:sz w:val="22"/>
          <w:szCs w:val="22"/>
        </w:rPr>
        <w:instrText>ADDIN CSL_CITATION {"citationItems":[{"id":"ITEM-1","itemData":{"DOI":"10.1080/15548627.2015.1067364","ISSN":"1554-8627","PMID":"26207393","abstract":"Parkinson disease (PD), once considered as a prototype of a sporadic disease, is now known to be considerably affected by various genetic factors, which interact with environmental factors and the normal process of aging, leading to PD. Large studies determined that the hereditary component of PD is at least 27%, and in some populations, single genetic factors are responsible for more than 33% of PD patients. Interestingly, many of these genetic factors, such as LRRK2, GBA, SMPD1, SNCA, PARK2, PINK1, PARK7, SCARB2, and others, are involved in the autophagy-lysosome pathway (ALP). Some of these genes encode lysosomal enzymes, whereas others correspond to proteins that are involved in transport to the lysosome, mitophagy, or other autophagic-related functions. Is it possible that all these factors converge into a single pathway that causes PD? In this review, we will discuss these genetic findings and the role of the ALP in the pathogenesis of PD and will try to answer this question. We will suggest a novel hypothesis for the pathogenic mechanism of PD that involves the lysosome and the different autophagy pathways.","author":[{"dropping-particle":"","family":"Gan-Or","given":"Ziv","non-dropping-particle":"","parse-names":false,"suffix":""},{"dropping-particle":"","family":"Dion","given":"Patrick A","non-dropping-particle":"","parse-names":false,"suffix":""},{"dropping-particle":"","family":"Rouleau","given":"Guy A","non-dropping-particle":"","parse-names":false,"suffix":""}],"container-title":"Autophagy","id":"ITEM-1","issue":"9","issued":{"date-parts":[["2015","9","2"]]},"page":"1443-1457","title":"Genetic perspective on the role of the autophagy-lysosome pathway in Parkinson disease","type":"article-journal","volume":"11"},"uris":["http://www.mendeley.com/documents/?uuid=fe8a8b3b-f2ff-3c34-90e8-94018300d093"]},{"id":"ITEM-2","itemData":{"DOI":"10.3233/JPD-171092","ISSN":"1877718X","PMID":"28598856","abstract":"Following the discovery of a higher than expected incidence of Parkinson Disease (PD) in Gaucher disease, a lysosomal storage disorder, mutations in the glucocerebrocidase (GBA) gene, which encodes a lysosomal enzyme involved in sphingolipid degradation were explored in the context of idiopathic PD. GBA mutations are now known to be the single largest risk factor for development of idiopathic PD. Clinically, on imaging and pharmacologically, GBA PD is almost identical to idiopathic PD, other than certain features that can be identified in the specialist research setting but not in routine clinical practice. In patients with a known GBA mutation, it is possible to monitor for prodromal signs of PD. The clinical similarity with idiopathic PD and the chance to identify PD at a pre-clinical stage provides a unique opportunity to research therapeutic options for early PD, before major irreversible neurodegeneration occurs. However, to date, the molecular mechanisms which lead to this increased PD risk in GBA mutation carriers are not fully elucidated. Experimental models to define the molecular mechanisms and test therapeutic options include cell culture, transgenic mice and other in vivo models amenable to genetic manipulation, such as drosophilia. Some key pathological pathways of interest in the context of GBA mutations include alpha synuclein aggregation, lysosomal-autophagy axis changes and endoplasmic reticulum stress. Therapeutic agents that exploit these pathways are being developed and include the small molecule chaperone Ambroxol. This review aims to summarise the main features of GBA-PD and provide insights into the pathological relevance of GBA mutations on molecular pathways and the therapeutic implications for PD resulting from investigation of the role of GBA in PD.","author":[{"dropping-particle":"","family":"O'Regan","given":"Grace","non-dropping-particle":"","parse-names":false,"suffix":""},{"dropping-particle":"","family":"Desouza","given":"Ruth Mary","non-dropping-particle":"","parse-names":false,"suffix":""},{"dropping-particle":"","family":"Balestrino","given":"Roberta","non-dropping-particle":"","parse-names":false,"suffix":""},{"dropping-particle":"","family":"Schapira","given":"Anthony H.","non-dropping-particle":"","parse-names":false,"suffix":""}],"container-title":"Journal of Parkinson's Disease","id":"ITEM-2","issue":"3","issued":{"date-parts":[["2017","8","8"]]},"page":"411-422","title":"Glucocerebrosidase Mutations in Parkinson Disease","type":"article","volume":"7"},"uris":["http://www.mendeley.com/documents/?uuid=e08718fb-04f7-3578-a7a0-17f16f83d189"]}],"mendeley":{"formattedCitation":"(Gan-Or &lt;i&gt;et al.&lt;/i&gt; 2015; O’Regan &lt;i&gt;et al.&lt;/i&gt; 2017)","plainTextFormattedCitation":"(Gan-Or et al. 2015; O’Regan et al. 2017)","previouslyFormattedCitation":"(Gan-Or &lt;i&gt;et al.&lt;/i&gt; 2015; O’Regan &lt;i&gt;et al.&lt;/i&gt; 2017)"},"properties":{"noteIndex":0},"schema":"https://github.com/citation-style-language/schema/raw/master/csl-citation.json"}</w:instrText>
      </w:r>
      <w:r w:rsidR="008F211E" w:rsidRPr="003131ED">
        <w:rPr>
          <w:sz w:val="22"/>
          <w:szCs w:val="22"/>
        </w:rPr>
        <w:fldChar w:fldCharType="separate"/>
      </w:r>
      <w:r w:rsidR="00D86B9A" w:rsidRPr="003131ED">
        <w:rPr>
          <w:noProof/>
          <w:sz w:val="22"/>
          <w:szCs w:val="22"/>
        </w:rPr>
        <w:t xml:space="preserve">(Gan-Or </w:t>
      </w:r>
      <w:r w:rsidR="00D86B9A" w:rsidRPr="003131ED">
        <w:rPr>
          <w:i/>
          <w:noProof/>
          <w:sz w:val="22"/>
          <w:szCs w:val="22"/>
        </w:rPr>
        <w:t>et al.</w:t>
      </w:r>
      <w:r w:rsidR="00D86B9A" w:rsidRPr="003131ED">
        <w:rPr>
          <w:noProof/>
          <w:sz w:val="22"/>
          <w:szCs w:val="22"/>
        </w:rPr>
        <w:t xml:space="preserve"> 2015; O’Regan </w:t>
      </w:r>
      <w:r w:rsidR="00D86B9A" w:rsidRPr="003131ED">
        <w:rPr>
          <w:i/>
          <w:noProof/>
          <w:sz w:val="22"/>
          <w:szCs w:val="22"/>
        </w:rPr>
        <w:t>et al.</w:t>
      </w:r>
      <w:r w:rsidR="00D86B9A" w:rsidRPr="003131ED">
        <w:rPr>
          <w:noProof/>
          <w:sz w:val="22"/>
          <w:szCs w:val="22"/>
        </w:rPr>
        <w:t xml:space="preserve"> 2017)</w:t>
      </w:r>
      <w:r w:rsidR="008F211E" w:rsidRPr="003131ED">
        <w:rPr>
          <w:sz w:val="22"/>
          <w:szCs w:val="22"/>
        </w:rPr>
        <w:fldChar w:fldCharType="end"/>
      </w:r>
      <w:r w:rsidRPr="003131ED">
        <w:rPr>
          <w:sz w:val="22"/>
          <w:szCs w:val="22"/>
        </w:rPr>
        <w:t>.</w:t>
      </w:r>
      <w:r w:rsidR="00BD4A37" w:rsidRPr="003131ED">
        <w:rPr>
          <w:sz w:val="22"/>
          <w:szCs w:val="22"/>
        </w:rPr>
        <w:t xml:space="preserve"> </w:t>
      </w:r>
      <w:r w:rsidR="000B492F" w:rsidRPr="003131ED">
        <w:rPr>
          <w:sz w:val="22"/>
          <w:szCs w:val="22"/>
        </w:rPr>
        <w:t xml:space="preserve">Dysfunction of glucocerebrosidase </w:t>
      </w:r>
      <w:r w:rsidRPr="003131ED">
        <w:rPr>
          <w:sz w:val="22"/>
          <w:szCs w:val="22"/>
        </w:rPr>
        <w:t xml:space="preserve">causes lysosomal </w:t>
      </w:r>
      <w:r w:rsidRPr="003131ED">
        <w:rPr>
          <w:sz w:val="22"/>
          <w:szCs w:val="22"/>
        </w:rPr>
        <w:lastRenderedPageBreak/>
        <w:t>storage disease (Gaucher’s) and has been shown to promote α-synuclein accumulation thro</w:t>
      </w:r>
      <w:r w:rsidR="000B492F" w:rsidRPr="003131ED">
        <w:rPr>
          <w:sz w:val="22"/>
          <w:szCs w:val="22"/>
        </w:rPr>
        <w:t xml:space="preserve">ugh autophagic inhibition </w:t>
      </w:r>
      <w:r w:rsidR="000B492F" w:rsidRPr="003131ED">
        <w:rPr>
          <w:sz w:val="22"/>
          <w:szCs w:val="22"/>
        </w:rPr>
        <w:fldChar w:fldCharType="begin" w:fldLock="1"/>
      </w:r>
      <w:r w:rsidR="00D86B9A" w:rsidRPr="003131ED">
        <w:rPr>
          <w:sz w:val="22"/>
          <w:szCs w:val="22"/>
        </w:rPr>
        <w:instrText>ADDIN CSL_CITATION {"citationItems":[{"id":"ITEM-1","itemData":{"DOI":"10.1080/15548627.2015.1086055","ISSN":"15548635","PMID":"26378614","abstract":"© 2015 Taylor &amp; Francis Group, LLC. Loss-of-function mutations in the gene encoding GBA (glucocerebrosidase, β, acid), the enzyme deficient in the lysosomal storage disorder Gaucher disease, elevate the risk of Parkinson disease (PD), which is characterized by the misprocessing of SNCA/a-synuclein. However, the mechanistic link between GBA deficiency and SNC/α accumulation remains poorly understood. In this study, we found that loss of GBA function resulted in increased levels of SNCA via inhibition of the autophagic pathway in SK-N-SH neuroblastoma cells, primary rat cortical neurons, or the rat striatum. Furthermore, expression of the autophagy pathway component BECN1 was downregulated as a result of the GBA knockdown-induced decrease in glucocerebrosidase activity. Most importantly, inhibition of autophagy by loss of GBA function was associated with PPP2A (protein phosphatase 2A) inactivation via Tyr307 phosphorylation. C2-ceramide (C2), a PPP2A agonist, activated autophagy in GBA-silenced cells, while GBA knockdown-induced SNCA accumulation was reversed by C2 or rapamycin (an autophagy inducer), suggesting that PPP2A plays an important role in the GBA knockdown-mediated inhibition of autophagy. These findings demonstrate that loss of GBA function may contribute to SNCA accumulation through inhibition of autophagy via PPP2A inactivation, thereby providing a mechanistic basis for the increased PD risk associated with GBA deficiency.","author":[{"dropping-particle":"","family":"Du","given":"Ting Ting","non-dropping-particle":"","parse-names":false,"suffix":""},{"dropping-particle":"","family":"Wang","given":"Le","non-dropping-particle":"","parse-names":false,"suffix":""},{"dropping-particle":"","family":"Duan","given":"Chun Li","non-dropping-particle":"","parse-names":false,"suffix":""},{"dropping-particle":"","family":"Lu","given":"Ling Ling","non-dropping-particle":"","parse-names":false,"suffix":""},{"dropping-particle":"","family":"Zhang","given":"Jian Liang","non-dropping-particle":"","parse-names":false,"suffix":""},{"dropping-particle":"","family":"Gao","given":"Ge","non-dropping-particle":"","parse-names":false,"suffix":""},{"dropping-particle":"","family":"Qiu","given":"Xiao Bo","non-dropping-particle":"","parse-names":false,"suffix":""},{"dropping-particle":"","family":"Wang","given":"Xiao Min","non-dropping-particle":"","parse-names":false,"suffix":""},{"dropping-particle":"","family":"Yang","given":"Hui","non-dropping-particle":"","parse-names":false,"suffix":""}],"container-title":"Autophagy","id":"ITEM-1","issue":"10","issued":{"date-parts":[["2015","10","3"]]},"page":"1803-1820","title":"GBA deficiency promotes SNCA/α-synuclein accumulation through autophagic inhibition by inactivated PPP2A","type":"article-journal","volume":"11"},"uris":["http://www.mendeley.com/documents/?uuid=06664837-7335-341a-9f09-86c7e419404f"]}],"mendeley":{"formattedCitation":"(Du &lt;i&gt;et al.&lt;/i&gt; 2015)","plainTextFormattedCitation":"(Du et al. 2015)","previouslyFormattedCitation":"(Du &lt;i&gt;et al.&lt;/i&gt; 2015)"},"properties":{"noteIndex":0},"schema":"https://github.com/citation-style-language/schema/raw/master/csl-citation.json"}</w:instrText>
      </w:r>
      <w:r w:rsidR="000B492F" w:rsidRPr="003131ED">
        <w:rPr>
          <w:sz w:val="22"/>
          <w:szCs w:val="22"/>
        </w:rPr>
        <w:fldChar w:fldCharType="separate"/>
      </w:r>
      <w:r w:rsidR="00D86B9A" w:rsidRPr="003131ED">
        <w:rPr>
          <w:noProof/>
          <w:sz w:val="22"/>
          <w:szCs w:val="22"/>
        </w:rPr>
        <w:t xml:space="preserve">(Du </w:t>
      </w:r>
      <w:r w:rsidR="00D86B9A" w:rsidRPr="003131ED">
        <w:rPr>
          <w:i/>
          <w:noProof/>
          <w:sz w:val="22"/>
          <w:szCs w:val="22"/>
        </w:rPr>
        <w:t>et al.</w:t>
      </w:r>
      <w:r w:rsidR="00D86B9A" w:rsidRPr="003131ED">
        <w:rPr>
          <w:noProof/>
          <w:sz w:val="22"/>
          <w:szCs w:val="22"/>
        </w:rPr>
        <w:t xml:space="preserve"> 2015)</w:t>
      </w:r>
      <w:r w:rsidR="000B492F" w:rsidRPr="003131ED">
        <w:rPr>
          <w:sz w:val="22"/>
          <w:szCs w:val="22"/>
        </w:rPr>
        <w:fldChar w:fldCharType="end"/>
      </w:r>
      <w:r w:rsidRPr="003131ED">
        <w:rPr>
          <w:sz w:val="22"/>
          <w:szCs w:val="22"/>
        </w:rPr>
        <w:t xml:space="preserve">. </w:t>
      </w:r>
    </w:p>
    <w:p w14:paraId="4EA90CCB" w14:textId="77777777" w:rsidR="000B492F" w:rsidRPr="003131ED" w:rsidRDefault="000B492F" w:rsidP="00D0468C">
      <w:pPr>
        <w:spacing w:line="360" w:lineRule="auto"/>
        <w:jc w:val="both"/>
        <w:rPr>
          <w:sz w:val="22"/>
          <w:szCs w:val="22"/>
        </w:rPr>
      </w:pPr>
    </w:p>
    <w:p w14:paraId="01EF33C9" w14:textId="07725D98" w:rsidR="00143D70" w:rsidRPr="003131ED" w:rsidRDefault="00143D70" w:rsidP="00D0468C">
      <w:pPr>
        <w:spacing w:line="360" w:lineRule="auto"/>
        <w:jc w:val="both"/>
        <w:rPr>
          <w:sz w:val="22"/>
          <w:szCs w:val="22"/>
        </w:rPr>
      </w:pPr>
      <w:r w:rsidRPr="003131ED">
        <w:rPr>
          <w:sz w:val="22"/>
          <w:szCs w:val="22"/>
        </w:rPr>
        <w:t xml:space="preserve">The direct effects of iron on </w:t>
      </w:r>
      <w:r w:rsidRPr="003131ED">
        <w:rPr>
          <w:sz w:val="22"/>
          <w:szCs w:val="22"/>
        </w:rPr>
        <w:sym w:font="Symbol" w:char="F061"/>
      </w:r>
      <w:r w:rsidRPr="003131ED">
        <w:rPr>
          <w:sz w:val="22"/>
          <w:szCs w:val="22"/>
        </w:rPr>
        <w:t>-synuclein homeostasis has been postulated through the identification of a putat</w:t>
      </w:r>
      <w:r w:rsidR="009479F3" w:rsidRPr="003131ED">
        <w:rPr>
          <w:sz w:val="22"/>
          <w:szCs w:val="22"/>
        </w:rPr>
        <w:t xml:space="preserve">ive iron response element </w:t>
      </w:r>
      <w:r w:rsidRPr="003131ED">
        <w:rPr>
          <w:sz w:val="22"/>
          <w:szCs w:val="22"/>
        </w:rPr>
        <w:t xml:space="preserve">at the 5’-UTR of </w:t>
      </w:r>
      <w:r w:rsidRPr="003131ED">
        <w:rPr>
          <w:sz w:val="22"/>
          <w:szCs w:val="22"/>
        </w:rPr>
        <w:sym w:font="Symbol" w:char="F061"/>
      </w:r>
      <w:r w:rsidRPr="003131ED">
        <w:rPr>
          <w:sz w:val="22"/>
          <w:szCs w:val="22"/>
        </w:rPr>
        <w:t>-synuclein mRNA along with metal binding sit</w:t>
      </w:r>
      <w:r w:rsidR="009479F3" w:rsidRPr="003131ED">
        <w:rPr>
          <w:sz w:val="22"/>
          <w:szCs w:val="22"/>
        </w:rPr>
        <w:t xml:space="preserve">es located on the protein </w:t>
      </w:r>
      <w:r w:rsidR="009479F3" w:rsidRPr="003131ED">
        <w:rPr>
          <w:sz w:val="22"/>
          <w:szCs w:val="22"/>
        </w:rPr>
        <w:fldChar w:fldCharType="begin" w:fldLock="1"/>
      </w:r>
      <w:r w:rsidR="00D86B9A" w:rsidRPr="003131ED">
        <w:rPr>
          <w:sz w:val="22"/>
          <w:szCs w:val="22"/>
        </w:rPr>
        <w:instrText>ADDIN CSL_CITATION {"citationItems":[{"id":"ITEM-1","itemData":{"DOI":"10.1038/sj.mp.4001937","ISBN":"1359-4184 (Print)","ISSN":"1359-4184","PMID":"17325711","abstract":"Molecular Psychiatry publishes work aimed at elucidating biological mechanisms underlying psychiatric disorders and their treatment","author":[{"dropping-particle":"","family":"Friedlich","given":"A L","non-dropping-particle":"","parse-names":false,"suffix":""},{"dropping-particle":"","family":"Tanzi","given":"R E","non-dropping-particle":"","parse-names":false,"suffix":""},{"dropping-particle":"","family":"Rogers","given":"J T","non-dropping-particle":"","parse-names":false,"suffix":""}],"container-title":"Molecular psychiatry","id":"ITEM-1","issue":"3","issued":{"date-parts":[["2007"]]},"note":"IRE in the 5'-UTR of mRNA encoding alpha synuclein --&amp;gt; possibly indication of regulation of alpha synuclein protein production in response to cellular iron and redox events\n\nStructural homology of 5'-UTR loop between alpha synuclein, L-ferritin, ferroportin, erythroid 5-aminolevulinate (eALAS), and mitochondrial aconitase \n\n--&amp;gt; This homology is NOT seen in beta and gamma synuclein","page":"222-223","title":"The 5'-untranslated region of Parkinson's disease alpha-synuclein messengerRNA contains a predicted iron responsive element.","type":"article-journal","volume":"12"},"uris":["http://www.mendeley.com/documents/?uuid=1a536525-8505-4ddb-81c7-648878378bef"]},{"id":"ITEM-2","itemData":{"DOI":"10.1097/WNR.0b013e328354a1f0","ISBN":"0959-4965","ISSN":"0959-4965","PMID":"22581044","abstract":"Several studies have suggested an interaction between α-synuclein protein and iron in Parkinson's disease. The presence of iron together with α-synuclein in Lewy bodies, the increase of iron in the substantia nigra and the correlation between polymorphism of the several genes implicated in iron metabolism and Parkinson's disease, support a role for iron in the neurodegeneration. Analysis of post mortem brains revealed increased amount of insoluble α-synuclein protein despite unchanged/reduced levels of α-synuclein mRNA in Parkinson's disease. Interestingly, on the basis of the presence of a putative iron responsive element in the 5'-UTR, it has been suggested that there is a possible iron-dependent translational control of human α-synuclein mRNA. Considering the similarity between the sequences present in human α-synuclein mRNA and the ferritin iron responsive element, we postulated that iron deficiency would decrease the translation of α-synuclein mRNA. Here we used HEK293 cells treated with iron chelator deferoxamine or ferric ammonium citrate to verify the possible iron-dependent translational control of human α-synuclein biosynthesis. We show that the amount of polysome-associated endogenous human α-synuclein mRNA decreases in presence of deferoxamine. Our data demonstrate that human α-synuclein expression is regulated by iron mainly at the translational level. This result not only supports a role for iron in the translational control of α-synuclein expression, but also suggests that iron chelation may be a valid approach to control α-synuclein levels in the brain.","author":[{"dropping-particle":"","family":"Febbraro","given":"Fabia","non-dropping-particle":"","parse-names":false,"suffix":""},{"dropping-particle":"","family":"Giorgi","given":"Marcello","non-dropping-particle":"","parse-names":false,"suffix":""},{"dropping-particle":"","family":"Caldarola","given":"Sara","non-dropping-particle":"","parse-names":false,"suffix":""},{"dropping-particle":"","family":"Loreni","given":"Fabrizio","non-dropping-particle":"","parse-names":false,"suffix":""},{"dropping-particle":"","family":"Romero-Ramos","given":"Marina","non-dropping-particle":"","parse-names":false,"suffix":""}],"container-title":"NeuroReport","id":"ITEM-2","issue":"9","issued":{"date-parts":[["2012","6","20"]]},"page":"576-580","title":"α-Synuclein expression is modulated at the translational level by iron","type":"article-journal","volume":"23"},"uris":["http://www.mendeley.com/documents/?uuid=921b53f7-2ccd-4982-ac3a-5d4362afc4fb"]}],"mendeley":{"formattedCitation":"(Friedlich &lt;i&gt;et al.&lt;/i&gt; 2007; Febbraro &lt;i&gt;et al.&lt;/i&gt; 2012)","plainTextFormattedCitation":"(Friedlich et al. 2007; Febbraro et al. 2012)","previouslyFormattedCitation":"(Friedlich &lt;i&gt;et al.&lt;/i&gt; 2007; Febbraro &lt;i&gt;et al.&lt;/i&gt; 2012)"},"properties":{"noteIndex":0},"schema":"https://github.com/citation-style-language/schema/raw/master/csl-citation.json"}</w:instrText>
      </w:r>
      <w:r w:rsidR="009479F3" w:rsidRPr="003131ED">
        <w:rPr>
          <w:sz w:val="22"/>
          <w:szCs w:val="22"/>
        </w:rPr>
        <w:fldChar w:fldCharType="separate"/>
      </w:r>
      <w:r w:rsidR="00D86B9A" w:rsidRPr="003131ED">
        <w:rPr>
          <w:noProof/>
          <w:sz w:val="22"/>
          <w:szCs w:val="22"/>
        </w:rPr>
        <w:t xml:space="preserve">(Friedlich </w:t>
      </w:r>
      <w:r w:rsidR="00D86B9A" w:rsidRPr="003131ED">
        <w:rPr>
          <w:i/>
          <w:noProof/>
          <w:sz w:val="22"/>
          <w:szCs w:val="22"/>
        </w:rPr>
        <w:t>et al.</w:t>
      </w:r>
      <w:r w:rsidR="00D86B9A" w:rsidRPr="003131ED">
        <w:rPr>
          <w:noProof/>
          <w:sz w:val="22"/>
          <w:szCs w:val="22"/>
        </w:rPr>
        <w:t xml:space="preserve"> 2007; Febbraro </w:t>
      </w:r>
      <w:r w:rsidR="00D86B9A" w:rsidRPr="003131ED">
        <w:rPr>
          <w:i/>
          <w:noProof/>
          <w:sz w:val="22"/>
          <w:szCs w:val="22"/>
        </w:rPr>
        <w:t>et al.</w:t>
      </w:r>
      <w:r w:rsidR="00D86B9A" w:rsidRPr="003131ED">
        <w:rPr>
          <w:noProof/>
          <w:sz w:val="22"/>
          <w:szCs w:val="22"/>
        </w:rPr>
        <w:t xml:space="preserve"> 2012)</w:t>
      </w:r>
      <w:r w:rsidR="009479F3" w:rsidRPr="003131ED">
        <w:rPr>
          <w:sz w:val="22"/>
          <w:szCs w:val="22"/>
        </w:rPr>
        <w:fldChar w:fldCharType="end"/>
      </w:r>
      <w:r w:rsidRPr="003131ED">
        <w:rPr>
          <w:sz w:val="22"/>
          <w:szCs w:val="22"/>
        </w:rPr>
        <w:t xml:space="preserve">. However, the impact of </w:t>
      </w:r>
      <w:r w:rsidR="00A06CBD" w:rsidRPr="003131ED">
        <w:rPr>
          <w:sz w:val="22"/>
          <w:szCs w:val="22"/>
        </w:rPr>
        <w:t xml:space="preserve">genes involved in iron regulation </w:t>
      </w:r>
      <w:r w:rsidRPr="003131ED">
        <w:rPr>
          <w:sz w:val="22"/>
          <w:szCs w:val="22"/>
        </w:rPr>
        <w:t xml:space="preserve">on Parkinson’s disease </w:t>
      </w:r>
      <w:r w:rsidR="000E595A" w:rsidRPr="003131ED">
        <w:rPr>
          <w:sz w:val="22"/>
          <w:szCs w:val="22"/>
        </w:rPr>
        <w:t xml:space="preserve">risk and molecular pathology </w:t>
      </w:r>
      <w:r w:rsidRPr="003131ED">
        <w:rPr>
          <w:sz w:val="22"/>
          <w:szCs w:val="22"/>
        </w:rPr>
        <w:t xml:space="preserve">is poorly understood. Polymorphisms in the </w:t>
      </w:r>
      <w:r w:rsidRPr="003131ED">
        <w:rPr>
          <w:i/>
          <w:sz w:val="22"/>
          <w:szCs w:val="22"/>
        </w:rPr>
        <w:t>HFE</w:t>
      </w:r>
      <w:r w:rsidRPr="003131ED">
        <w:rPr>
          <w:sz w:val="22"/>
          <w:szCs w:val="22"/>
        </w:rPr>
        <w:t xml:space="preserve"> gene which encodes for the homeostatic iron regulator protein, HFE, have been identified to be a disease modifier in </w:t>
      </w:r>
      <w:r w:rsidR="00F976DC" w:rsidRPr="003131ED">
        <w:rPr>
          <w:sz w:val="22"/>
          <w:szCs w:val="22"/>
        </w:rPr>
        <w:t xml:space="preserve">multiple </w:t>
      </w:r>
      <w:r w:rsidRPr="003131ED">
        <w:rPr>
          <w:sz w:val="22"/>
          <w:szCs w:val="22"/>
        </w:rPr>
        <w:t>neurodegenerative diseases including amyotrophic lateral sclerosi</w:t>
      </w:r>
      <w:r w:rsidR="001C65BD" w:rsidRPr="003131ED">
        <w:rPr>
          <w:sz w:val="22"/>
          <w:szCs w:val="22"/>
        </w:rPr>
        <w:t xml:space="preserve">s and Alzheimer’s disease </w:t>
      </w:r>
      <w:r w:rsidR="001C65BD" w:rsidRPr="003131ED">
        <w:rPr>
          <w:sz w:val="22"/>
          <w:szCs w:val="22"/>
        </w:rPr>
        <w:fldChar w:fldCharType="begin" w:fldLock="1"/>
      </w:r>
      <w:r w:rsidR="00D86B9A" w:rsidRPr="003131ED">
        <w:rPr>
          <w:sz w:val="22"/>
          <w:szCs w:val="22"/>
        </w:rPr>
        <w:instrText>ADDIN CSL_CITATION {"citationItems":[{"id":"ITEM-1","itemData":{"DOI":"10.1016/j.bbadis.2014.09.016","ISSN":"1879260X","PMID":"25283820","abstract":"H63D HFE is associated with iron dyshomeostasis and oxidative stress; each of which plays an important role in amyotrophic lateral sclerosis (ALS) pathogenesis. To examine the role of H63D HFE in ALS, we generated a double transgenic mouse line (SOD1/H67D) carrying the H67D HFE (homologue of human H63D) and SOD1(G93A) mutations. We found double transgenic mice have shorter survival and accelerated disease progression. We examined parameters in the lumbar spinal cord of double transgenic mice at 90. days (presymptomatic), 110. days (symptomatic) and end-stage. Transferrin receptor and L-ferritin expression, both indicators of iron status, were altered in double transgenic and SOD1 mice starting at 90. days, indicating loss of iron homeostasis in these mice. However, double transgenic mice had higher L-ferritin expression than SOD1 mice. Double transgenic mice exhibited increased Iba-1 immunoreactivity and caspase-3 levels, indicating increased microglial activation which would be consistent with the higher L-ferritin levels. Although both SOD1 and double transgenic mice had increased GFAP expression, the magnitude of the increase was higher in double transgenic mice at 110. days, suggesting increased gliosis in these mice. Increased hemeoxygenase-1 and decreased nuclear factor E2-related factor 2 levels in double transgenic mice strongly suggest the accelerated disease process could be associated with increased oxidative stress. There was no evidence of TAR-DNA-binding protein 43 mislocalization to the cytoplasm in double transgenic mice; however, there was evidence suggesting neurofilament disruption, which has been reported in ALS. Our findings indicate H63D HFE modifies ALS pathophysiology via pathways involving oxidative stress, gliosis and disruption of cellular functions.","author":[{"dropping-particle":"","family":"Nandar","given":"Wint","non-dropping-particle":"","parse-names":false,"suffix":""},{"dropping-particle":"","family":"Neely","given":"Elizabeth B.","non-dropping-particle":"","parse-names":false,"suffix":""},{"dropping-particle":"","family":"Simmons","given":"Zachary","non-dropping-particle":"","parse-names":false,"suffix":""},{"dropping-particle":"","family":"Connor","given":"James R.","non-dropping-particle":"","parse-names":false,"suffix":""}],"container-title":"Biochimica et Biophysica Acta - Molecular Basis of Disease","id":"ITEM-1","issue":"12","issued":{"date-parts":[["2014","12"]]},"page":"2413-2426","title":"H63D HFE genotype accelerates disease progression in animal models of amyotrophic lateral sclerosis","type":"article-journal","volume":"1842"},"uris":["http://www.mendeley.com/documents/?uuid=cb33c770-db48-30e4-83b9-2e430937c004"]},{"id":"ITEM-2","itemData":{"DOI":"10.1002/mus.23740","ISSN":"0148639X","PMID":"23813494","abstract":"Introduction: H63D HFE polymorphisms increase the risk of neurodegenerative disorders and, specifically, may increase amyotrophic lateral sclerosis (ALS) risk. Investigating the physiological alterations induced by H63D polymorphisms in ALS patients may elucidate mechanisms by which this genotype alters disease. Methods: Clinical measures and muscle biopsies were available from patients previously diagnosed with ALS who underwent HFE genotyping. Clinical outcomes and SOD1 protein expression were analyzed using standard statistical analyses. Results: ALS patients harboring H63D HFE (n = 16) had 28.1 months longer average disease duration and 39.3% lower muscle SOD1 protein than ALS patients with wild-type HFE (n = 22). Conclusions: Combined with previous reports suggesting the H63D polymorphism is associated with ALS, these results support a model wherein the H63D polymorphism is involved in ALS by means of pathways involving SOD1 but may limit cellular damage in individuals who develop disease. The association between HFE genotype and disease duration has important implications for clinical care and treatment trials. © 2013 Wiley Periodicals, Inc.","author":[{"dropping-particle":"","family":"Su","given":"Xiaowei W.","non-dropping-particle":"","parse-names":false,"suffix":""},{"dropping-particle":"","family":"Lee","given":"Sang Y.","non-dropping-particle":"","parse-names":false,"suffix":""},{"dropping-particle":"","family":"Mitchell","given":"Ryan M.","non-dropping-particle":"","parse-names":false,"suffix":""},{"dropping-particle":"","family":"Stephens","given":"Helen E.","non-dropping-particle":"","parse-names":false,"suffix":""},{"dropping-particle":"","family":"Simmons","given":"Zachary","non-dropping-particle":"","parse-names":false,"suffix":""},{"dropping-particle":"","family":"Connor","given":"James R.","non-dropping-particle":"","parse-names":false,"suffix":""}],"container-title":"Muscle and Nerve","id":"ITEM-2","issue":"2","issued":{"date-parts":[["2013","8"]]},"page":"242-246","title":"H63D HFE polymorphisms are associated with increased disease duration and decreased muscle superoxide dismutase-1 expression in amyotrophic lateral sclerosis patients","type":"article-journal","volume":"48"},"uris":["http://www.mendeley.com/documents/?uuid=59643501-9ffa-341a-9570-1239a28bc0af"]},{"id":"ITEM-3","itemData":{"DOI":"10.1016/j.jns.2004.08.003","ISSN":"0022510X","abstract":"The etiology of amyotrophic lateral sclerosis (ALS) is unknown. The presence of mutations in the superoxide dismutase gene (SOD1) has led to theories regarding a role for oxidative stress in the pathogenesis of this disease. A primary cause of oxidative stress is perturbations in cellular iron homeostasis. Cellular iron mismanagement and oxidative stress are associated with a number of neurodegenerative diseases. One mechanism by which cells fail to properly regulate their iron status is through a mutation in the Hfe gene. Mutations in the Hfe gene are associated with the iron overload disease, hemochromatosis. In the current study, 31% of patients with sporadic ALS carried a mutation in the Hfe gene, compared to only 14% of patients without identifiable neuromuscular disease, or with neuromuscular diseases other than ALS (p&lt;0.005). To determine the cellular consequences of carrying an Hfe mutation, a human neuronal cell line was transfected with genes carrying the Hfe mutation. The presence of the Hfe mutation disrupted expression of tubulin and actin at the protein levels potentially consistent with the disruption of axonal transport seen in ALS and was also associated with a decrease in CuZnSOD1 expression. These data provide compelling evidence for a role for the Hfe mutation in etiopathogenesis of ALS and warrant further investigation. © 2004 Elsevier B.V. All rights reserved.","author":[{"dropping-particle":"","family":"Wang","given":"Xin Sheng","non-dropping-particle":"","parse-names":false,"suffix":""},{"dropping-particle":"","family":"Lee","given":"Sang","non-dropping-particle":"","parse-names":false,"suffix":""},{"dropping-particle":"","family":"Simmons","given":"Zachary","non-dropping-particle":"","parse-names":false,"suffix":""},{"dropping-particle":"","family":"Boyer","given":"Philip","non-dropping-particle":"","parse-names":false,"suffix":""},{"dropping-particle":"","family":"Scott","given":"Kevin","non-dropping-particle":"","parse-names":false,"suffix":""},{"dropping-particle":"","family":"Liu","given":"Wenlei","non-dropping-particle":"","parse-names":false,"suffix":""},{"dropping-particle":"","family":"Connor","given":"James","non-dropping-particle":"","parse-names":false,"suffix":""}],"container-title":"Journal of the Neurological Sciences","id":"ITEM-3","issue":"1","issued":{"date-parts":[["2004","12"]]},"page":"27-33","title":"Increased incidence of the Hfe mutation in amyotrophic lateral sclerosis and related cellular consequences","type":"article-journal","volume":"227"},"uris":["http://www.mendeley.com/documents/?uuid=6e5db642-333d-396c-b318-26c8a502eabe"]},{"id":"ITEM-4","itemData":{"DOI":"10.3389/fphar.2014.00165","ISSN":"1663-9812","PMID":"25071582","abstract":"Iron accumulation and associated oxidative stress in the brain have been consistently found in several neurodegenerative diseases. Multiple genetic studies have been undertaken to try to identify a cause of neurodegenerative diseases but direct connections have been rare. In the iron field, variants in the HFE gene that give rise to a protein involved in cellular iron regulation, are associated with iron accumulation in multiple organs including the brain. There is also substantial epidemiological, genetic, and molecular evidence of disruption of cholesterol homeostasis in several neurodegenerative diseases, in particular Alzheimer's disease (AD). Despite the efforts that have been made to identify factors that can trigger the pathological events associated with neurodegenerative diseases they remain mostly unknown. Because molecular phenotypes such as oxidative stress, synaptic failure, neuronal loss, and cognitive decline, characteristics associated with AD, have been shown to result from disruption of a number of pathways, one can easily argue that the phenotype seen may not arise from a linear sequence of events. Therefore, a multi-targeted approach is needed to understand a complex disorder like AD. This can be achieved only when knowledge about interactions between the different pathways and the potential influence of environmental factors on them becomes available. Toward this end, this review discusses what is known about the roles and interactions of iron and cholesterol in neurodegenerative diseases. It highlights the effects of gene variants of HFE (H63D- and C282Y-HFE) on iron and cholesterol metabolism and how they may contribute to understanding the etiology of complex neurodegenerative diseases.","author":[{"dropping-particle":"","family":"Ali-Rahmani","given":"Fatima","non-dropping-particle":"","parse-names":false,"suffix":""},{"dropping-particle":"","family":"Schengrund","given":"Cara-Lynne","non-dropping-particle":"","parse-names":false,"suffix":""},{"dropping-particle":"","family":"Connor","given":"James R","non-dropping-particle":"","parse-names":false,"suffix":""}],"container-title":"Frontiers in pharmacology","id":"ITEM-4","issued":{"date-parts":[["2014"]]},"page":"165","publisher":"Frontiers Media SA","title":"HFE gene variants, iron, and lipids: a novel connection in Alzheimer's disease.","type":"article-journal","volume":"5"},"uris":["http://www.mendeley.com/documents/?uuid=10c2965a-5a43-3bad-81a8-a4874aa785fb"]}],"mendeley":{"formattedCitation":"(Nandar &lt;i&gt;et al.&lt;/i&gt; 2014; Su &lt;i&gt;et al.&lt;/i&gt; 2013; Wang &lt;i&gt;et al.&lt;/i&gt; 2004; Ali-Rahmani &lt;i&gt;et al.&lt;/i&gt; 2014b)","plainTextFormattedCitation":"(Nandar et al. 2014; Su et al. 2013; Wang et al. 2004; Ali-Rahmani et al. 2014b)","previouslyFormattedCitation":"(Nandar &lt;i&gt;et al.&lt;/i&gt; 2014; Su &lt;i&gt;et al.&lt;/i&gt; 2013; Wang &lt;i&gt;et al.&lt;/i&gt; 2004; Ali-Rahmani &lt;i&gt;et al.&lt;/i&gt; 2014b)"},"properties":{"noteIndex":0},"schema":"https://github.com/citation-style-language/schema/raw/master/csl-citation.json"}</w:instrText>
      </w:r>
      <w:r w:rsidR="001C65BD" w:rsidRPr="003131ED">
        <w:rPr>
          <w:sz w:val="22"/>
          <w:szCs w:val="22"/>
        </w:rPr>
        <w:fldChar w:fldCharType="separate"/>
      </w:r>
      <w:r w:rsidR="00D86B9A" w:rsidRPr="003131ED">
        <w:rPr>
          <w:noProof/>
          <w:sz w:val="22"/>
          <w:szCs w:val="22"/>
        </w:rPr>
        <w:t xml:space="preserve">(Nandar </w:t>
      </w:r>
      <w:r w:rsidR="00D86B9A" w:rsidRPr="003131ED">
        <w:rPr>
          <w:i/>
          <w:noProof/>
          <w:sz w:val="22"/>
          <w:szCs w:val="22"/>
        </w:rPr>
        <w:t>et al.</w:t>
      </w:r>
      <w:r w:rsidR="00D86B9A" w:rsidRPr="003131ED">
        <w:rPr>
          <w:noProof/>
          <w:sz w:val="22"/>
          <w:szCs w:val="22"/>
        </w:rPr>
        <w:t xml:space="preserve"> 2014; Su </w:t>
      </w:r>
      <w:r w:rsidR="00D86B9A" w:rsidRPr="003131ED">
        <w:rPr>
          <w:i/>
          <w:noProof/>
          <w:sz w:val="22"/>
          <w:szCs w:val="22"/>
        </w:rPr>
        <w:t>et al.</w:t>
      </w:r>
      <w:r w:rsidR="00D86B9A" w:rsidRPr="003131ED">
        <w:rPr>
          <w:noProof/>
          <w:sz w:val="22"/>
          <w:szCs w:val="22"/>
        </w:rPr>
        <w:t xml:space="preserve"> 2013; Wang </w:t>
      </w:r>
      <w:r w:rsidR="00D86B9A" w:rsidRPr="003131ED">
        <w:rPr>
          <w:i/>
          <w:noProof/>
          <w:sz w:val="22"/>
          <w:szCs w:val="22"/>
        </w:rPr>
        <w:t>et al.</w:t>
      </w:r>
      <w:r w:rsidR="00D86B9A" w:rsidRPr="003131ED">
        <w:rPr>
          <w:noProof/>
          <w:sz w:val="22"/>
          <w:szCs w:val="22"/>
        </w:rPr>
        <w:t xml:space="preserve"> 2004; Ali-Rahmani </w:t>
      </w:r>
      <w:r w:rsidR="00D86B9A" w:rsidRPr="003131ED">
        <w:rPr>
          <w:i/>
          <w:noProof/>
          <w:sz w:val="22"/>
          <w:szCs w:val="22"/>
        </w:rPr>
        <w:t>et al.</w:t>
      </w:r>
      <w:r w:rsidR="00D86B9A" w:rsidRPr="003131ED">
        <w:rPr>
          <w:noProof/>
          <w:sz w:val="22"/>
          <w:szCs w:val="22"/>
        </w:rPr>
        <w:t xml:space="preserve"> 2014b)</w:t>
      </w:r>
      <w:r w:rsidR="001C65BD" w:rsidRPr="003131ED">
        <w:rPr>
          <w:sz w:val="22"/>
          <w:szCs w:val="22"/>
        </w:rPr>
        <w:fldChar w:fldCharType="end"/>
      </w:r>
      <w:r w:rsidRPr="003131ED">
        <w:rPr>
          <w:sz w:val="22"/>
          <w:szCs w:val="22"/>
        </w:rPr>
        <w:t>.</w:t>
      </w:r>
      <w:r w:rsidR="00F976DC" w:rsidRPr="003131ED">
        <w:rPr>
          <w:sz w:val="22"/>
          <w:szCs w:val="22"/>
        </w:rPr>
        <w:t xml:space="preserve"> </w:t>
      </w:r>
      <w:r w:rsidRPr="003131ED">
        <w:rPr>
          <w:sz w:val="22"/>
          <w:szCs w:val="22"/>
        </w:rPr>
        <w:t>HFE limits iron uptake into cells through its interaction with the transferrin recepto</w:t>
      </w:r>
      <w:r w:rsidR="00DE550E" w:rsidRPr="003131ED">
        <w:rPr>
          <w:sz w:val="22"/>
          <w:szCs w:val="22"/>
        </w:rPr>
        <w:t xml:space="preserve">r </w:t>
      </w:r>
      <w:r w:rsidR="00DE550E" w:rsidRPr="003131ED">
        <w:rPr>
          <w:sz w:val="22"/>
          <w:szCs w:val="22"/>
        </w:rPr>
        <w:fldChar w:fldCharType="begin" w:fldLock="1"/>
      </w:r>
      <w:r w:rsidR="00D86B9A" w:rsidRPr="003131ED">
        <w:rPr>
          <w:sz w:val="22"/>
          <w:szCs w:val="22"/>
        </w:rPr>
        <w:instrText>ADDIN CSL_CITATION {"citationItems":[{"id":"ITEM-1","itemData":{"DOI":"10.1016/j.gene.2015.10.009","ISSN":"03781119","PMID":"26456104","abstract":"The hemochromatosis gene HFE was discovered in 1996, more than a century after clinical and pathologic manifestations of hemochromatosis were reported. Linked to the major histocompatibility complex (MHC) on chromosome 6p, HFE encodes the MHC class I-like protein HFE that binds beta-2 microglobulin. HFE influences iron absorption by modulating the expression of hepcidin, the main controller of iron metabolism. Common HFE mutations account for ~90% of hemochromatosis phenotypes in whites of western European descent. We review HFE mapping and cloning, structure, promoters and controllers, and coding region mutations, HFE protein structure, cell and tissue expression and function, mouse Hfe knockouts and knockins, and HFE mutations in other mammals with iron overload. We describe the pertinence of HFE and HFE to mechanisms of iron homeostasis, the origin and fixation of HFE polymorphisms in European and other populations, and the genetic and biochemical basis of HFE hemochromatosis and iron overload.","author":[{"dropping-particle":"","family":"Barton","given":"James C.","non-dropping-particle":"","parse-names":false,"suffix":""},{"dropping-particle":"","family":"Edwards","given":"Corwin Q.","non-dropping-particle":"","parse-names":false,"suffix":""},{"dropping-particle":"","family":"Acton","given":"Ronald T.","non-dropping-particle":"","parse-names":false,"suffix":""}],"container-title":"Gene","id":"ITEM-1","issue":"2","issued":{"date-parts":[["2015","12","15"]]},"page":"179-192","title":"HFE gene: Structure, function, mutations, and associated iron abnormalities","type":"article-journal","volume":"574"},"uris":["http://www.mendeley.com/documents/?uuid=7602e1f5-ee5d-3779-9d8d-620163023dd9"]}],"mendeley":{"formattedCitation":"(Barton &lt;i&gt;et al.&lt;/i&gt; 2015)","plainTextFormattedCitation":"(Barton et al. 2015)","previouslyFormattedCitation":"(Barton &lt;i&gt;et al.&lt;/i&gt; 2015)"},"properties":{"noteIndex":0},"schema":"https://github.com/citation-style-language/schema/raw/master/csl-citation.json"}</w:instrText>
      </w:r>
      <w:r w:rsidR="00DE550E" w:rsidRPr="003131ED">
        <w:rPr>
          <w:sz w:val="22"/>
          <w:szCs w:val="22"/>
        </w:rPr>
        <w:fldChar w:fldCharType="separate"/>
      </w:r>
      <w:r w:rsidR="00D86B9A" w:rsidRPr="003131ED">
        <w:rPr>
          <w:noProof/>
          <w:sz w:val="22"/>
          <w:szCs w:val="22"/>
        </w:rPr>
        <w:t xml:space="preserve">(Barton </w:t>
      </w:r>
      <w:r w:rsidR="00D86B9A" w:rsidRPr="003131ED">
        <w:rPr>
          <w:i/>
          <w:noProof/>
          <w:sz w:val="22"/>
          <w:szCs w:val="22"/>
        </w:rPr>
        <w:t>et al.</w:t>
      </w:r>
      <w:r w:rsidR="00D86B9A" w:rsidRPr="003131ED">
        <w:rPr>
          <w:noProof/>
          <w:sz w:val="22"/>
          <w:szCs w:val="22"/>
        </w:rPr>
        <w:t xml:space="preserve"> 2015)</w:t>
      </w:r>
      <w:r w:rsidR="00DE550E" w:rsidRPr="003131ED">
        <w:rPr>
          <w:sz w:val="22"/>
          <w:szCs w:val="22"/>
        </w:rPr>
        <w:fldChar w:fldCharType="end"/>
      </w:r>
      <w:r w:rsidRPr="003131ED">
        <w:rPr>
          <w:sz w:val="22"/>
          <w:szCs w:val="22"/>
        </w:rPr>
        <w:t xml:space="preserve">. </w:t>
      </w:r>
      <w:r w:rsidR="004316FC" w:rsidRPr="003131ED">
        <w:rPr>
          <w:i/>
          <w:sz w:val="22"/>
          <w:szCs w:val="22"/>
        </w:rPr>
        <w:t>HFE</w:t>
      </w:r>
      <w:r w:rsidR="004316FC" w:rsidRPr="003131ED">
        <w:rPr>
          <w:sz w:val="22"/>
          <w:szCs w:val="22"/>
        </w:rPr>
        <w:t xml:space="preserve"> variants were first identified to be associated with hereditary hemochromatosis (HH)</w:t>
      </w:r>
      <w:r w:rsidR="00FC3203" w:rsidRPr="003131ED">
        <w:rPr>
          <w:sz w:val="22"/>
          <w:szCs w:val="22"/>
        </w:rPr>
        <w:t xml:space="preserve">, which is an iron overloading disease that affects the liver, heart, pancreas, and the skin </w:t>
      </w:r>
      <w:r w:rsidR="00FC3203" w:rsidRPr="003131ED">
        <w:rPr>
          <w:sz w:val="22"/>
          <w:szCs w:val="22"/>
        </w:rPr>
        <w:fldChar w:fldCharType="begin" w:fldLock="1"/>
      </w:r>
      <w:r w:rsidR="00FC3203" w:rsidRPr="003131ED">
        <w:rPr>
          <w:sz w:val="22"/>
          <w:szCs w:val="22"/>
        </w:rPr>
        <w:instrText>ADDIN CSL_CITATION {"citationItems":[{"id":"ITEM-1","itemData":{"DOI":"10.1136/gut.17.5.332","ISSN":"00175749","abstract":"The frequency of HLA A3 and HLA B14 antigens was significantly higher in a series of 51 patients with idiopathic haemochromatosis than in a control group, being respectively 78.4 versus 27.0% and 25.5 versus 3.4%. This finding strongly supports the suggestion that idiopathic haemochromatosis is a genetic disease and suggests that the gene(s) responsible for the disease may be linked to the histocompatibility genes.","author":[{"dropping-particle":"","family":"Simon","given":"M.","non-dropping-particle":"","parse-names":false,"suffix":""},{"dropping-particle":"","family":"Bourel","given":"M.","non-dropping-particle":"","parse-names":false,"suffix":""},{"dropping-particle":"","family":"Fauchet","given":"R.","non-dropping-particle":"","parse-names":false,"suffix":""},{"dropping-particle":"","family":"Genetet","given":"B.","non-dropping-particle":"","parse-names":false,"suffix":""}],"container-title":"Gut","id":"ITEM-1","issue":"5","issued":{"date-parts":[["1976"]]},"page":"332-334","title":"Association of HLA A3 and HLA B14 antigens with idiopathic haemochromatosis","type":"article-journal","volume":"17"},"uris":["http://www.mendeley.com/documents/?uuid=441beed1-6659-32f8-9d19-783d5f3cb9ef"]}],"mendeley":{"formattedCitation":"(Simon &lt;i&gt;et al.&lt;/i&gt; 1976)","plainTextFormattedCitation":"(Simon et al. 1976)","previouslyFormattedCitation":"(Simon &lt;i&gt;et al.&lt;/i&gt; 1976)"},"properties":{"noteIndex":0},"schema":"https://github.com/citation-style-language/schema/raw/master/csl-citation.json"}</w:instrText>
      </w:r>
      <w:r w:rsidR="00FC3203" w:rsidRPr="003131ED">
        <w:rPr>
          <w:sz w:val="22"/>
          <w:szCs w:val="22"/>
        </w:rPr>
        <w:fldChar w:fldCharType="separate"/>
      </w:r>
      <w:r w:rsidR="00FC3203" w:rsidRPr="003131ED">
        <w:rPr>
          <w:noProof/>
          <w:sz w:val="22"/>
          <w:szCs w:val="22"/>
        </w:rPr>
        <w:t xml:space="preserve">(Simon </w:t>
      </w:r>
      <w:r w:rsidR="00FC3203" w:rsidRPr="003131ED">
        <w:rPr>
          <w:i/>
          <w:noProof/>
          <w:sz w:val="22"/>
          <w:szCs w:val="22"/>
        </w:rPr>
        <w:t>et al.</w:t>
      </w:r>
      <w:r w:rsidR="00FC3203" w:rsidRPr="003131ED">
        <w:rPr>
          <w:noProof/>
          <w:sz w:val="22"/>
          <w:szCs w:val="22"/>
        </w:rPr>
        <w:t xml:space="preserve"> 1976)</w:t>
      </w:r>
      <w:r w:rsidR="00FC3203" w:rsidRPr="003131ED">
        <w:rPr>
          <w:sz w:val="22"/>
          <w:szCs w:val="22"/>
        </w:rPr>
        <w:fldChar w:fldCharType="end"/>
      </w:r>
      <w:r w:rsidR="00FC3203" w:rsidRPr="003131ED">
        <w:rPr>
          <w:sz w:val="22"/>
          <w:szCs w:val="22"/>
        </w:rPr>
        <w:t xml:space="preserve">.  C282Y is the most common variant associated with HH, but </w:t>
      </w:r>
      <w:r w:rsidR="005309E5" w:rsidRPr="003131ED">
        <w:rPr>
          <w:sz w:val="22"/>
          <w:szCs w:val="22"/>
        </w:rPr>
        <w:t xml:space="preserve">it </w:t>
      </w:r>
      <w:r w:rsidR="00FC3203" w:rsidRPr="003131ED">
        <w:rPr>
          <w:sz w:val="22"/>
          <w:szCs w:val="22"/>
        </w:rPr>
        <w:t xml:space="preserve">has </w:t>
      </w:r>
      <w:r w:rsidR="005309E5" w:rsidRPr="003131ED">
        <w:rPr>
          <w:sz w:val="22"/>
          <w:szCs w:val="22"/>
        </w:rPr>
        <w:t xml:space="preserve">a </w:t>
      </w:r>
      <w:r w:rsidR="00FC3203" w:rsidRPr="003131ED">
        <w:rPr>
          <w:sz w:val="22"/>
          <w:szCs w:val="22"/>
        </w:rPr>
        <w:t xml:space="preserve">low prevalence in the general population ranging from 0 to 9.2% </w:t>
      </w:r>
      <w:r w:rsidR="00FC3203" w:rsidRPr="003131ED">
        <w:rPr>
          <w:sz w:val="22"/>
          <w:szCs w:val="22"/>
        </w:rPr>
        <w:fldChar w:fldCharType="begin" w:fldLock="1"/>
      </w:r>
      <w:r w:rsidR="00DD040C" w:rsidRPr="003131ED">
        <w:rPr>
          <w:sz w:val="22"/>
          <w:szCs w:val="22"/>
        </w:rPr>
        <w:instrText>ADDIN CSL_CITATION {"citationItems":[{"id":"ITEM-1","itemData":{"DOI":"10.1093/aje/154.3.193","ISSN":"00029262","author":[{"dropping-particle":"","family":"Hanson","given":"E. H.","non-dropping-particle":"","parse-names":false,"suffix":""},{"dropping-particle":"","family":"Imperatore","given":"G.","non-dropping-particle":"","parse-names":false,"suffix":""},{"dropping-particle":"","family":"Burke","given":"W.","non-dropping-particle":"","parse-names":false,"suffix":""}],"container-title":"American Journal of Epidemiology","id":"ITEM-1","issue":"3","issued":{"date-parts":[["2001","8","1"]]},"page":"193-206","title":"HFE Gene and Hereditary Hemochromatosis: A HuGE Review","type":"article-journal","volume":"154"},"uris":["http://www.mendeley.com/documents/?uuid=53cab9a5-3863-4656-9552-53c22d0d52d2"]}],"mendeley":{"formattedCitation":"(Hanson &lt;i&gt;et al.&lt;/i&gt; 2001)","plainTextFormattedCitation":"(Hanson et al. 2001)","previouslyFormattedCitation":"(Hanson &lt;i&gt;et al.&lt;/i&gt; 2001)"},"properties":{"noteIndex":0},"schema":"https://github.com/citation-style-language/schema/raw/master/csl-citation.json"}</w:instrText>
      </w:r>
      <w:r w:rsidR="00FC3203" w:rsidRPr="003131ED">
        <w:rPr>
          <w:sz w:val="22"/>
          <w:szCs w:val="22"/>
        </w:rPr>
        <w:fldChar w:fldCharType="separate"/>
      </w:r>
      <w:r w:rsidR="00FC3203" w:rsidRPr="003131ED">
        <w:rPr>
          <w:noProof/>
          <w:sz w:val="22"/>
          <w:szCs w:val="22"/>
        </w:rPr>
        <w:t xml:space="preserve">(Hanson </w:t>
      </w:r>
      <w:r w:rsidR="00FC3203" w:rsidRPr="003131ED">
        <w:rPr>
          <w:i/>
          <w:noProof/>
          <w:sz w:val="22"/>
          <w:szCs w:val="22"/>
        </w:rPr>
        <w:t>et al.</w:t>
      </w:r>
      <w:r w:rsidR="00FC3203" w:rsidRPr="003131ED">
        <w:rPr>
          <w:noProof/>
          <w:sz w:val="22"/>
          <w:szCs w:val="22"/>
        </w:rPr>
        <w:t xml:space="preserve"> 2001)</w:t>
      </w:r>
      <w:r w:rsidR="00FC3203" w:rsidRPr="003131ED">
        <w:rPr>
          <w:sz w:val="22"/>
          <w:szCs w:val="22"/>
        </w:rPr>
        <w:fldChar w:fldCharType="end"/>
      </w:r>
      <w:r w:rsidR="00FC3203" w:rsidRPr="003131ED">
        <w:rPr>
          <w:sz w:val="22"/>
          <w:szCs w:val="22"/>
        </w:rPr>
        <w:t>.</w:t>
      </w:r>
      <w:r w:rsidR="005309E5" w:rsidRPr="003131ED">
        <w:rPr>
          <w:sz w:val="22"/>
          <w:szCs w:val="22"/>
        </w:rPr>
        <w:t xml:space="preserve"> </w:t>
      </w:r>
      <w:r w:rsidR="009A30C1" w:rsidRPr="003131ED">
        <w:rPr>
          <w:sz w:val="22"/>
          <w:szCs w:val="22"/>
        </w:rPr>
        <w:t>The h</w:t>
      </w:r>
      <w:r w:rsidRPr="003131ED">
        <w:rPr>
          <w:sz w:val="22"/>
          <w:szCs w:val="22"/>
        </w:rPr>
        <w:t xml:space="preserve">ighly prevalent H63D </w:t>
      </w:r>
      <w:r w:rsidRPr="003131ED">
        <w:rPr>
          <w:i/>
          <w:sz w:val="22"/>
          <w:szCs w:val="22"/>
        </w:rPr>
        <w:t xml:space="preserve">HFE </w:t>
      </w:r>
      <w:r w:rsidRPr="003131ED">
        <w:rPr>
          <w:sz w:val="22"/>
          <w:szCs w:val="22"/>
        </w:rPr>
        <w:t>variant, which is estimated to be present in 13.5% of the US population</w:t>
      </w:r>
      <w:r w:rsidR="009C0553" w:rsidRPr="003131ED">
        <w:rPr>
          <w:sz w:val="22"/>
          <w:szCs w:val="22"/>
        </w:rPr>
        <w:t xml:space="preserve"> and </w:t>
      </w:r>
      <w:r w:rsidR="00972CA4" w:rsidRPr="003131ED">
        <w:rPr>
          <w:sz w:val="22"/>
          <w:szCs w:val="22"/>
        </w:rPr>
        <w:t>5-22% across the world</w:t>
      </w:r>
      <w:r w:rsidRPr="003131ED">
        <w:rPr>
          <w:sz w:val="22"/>
          <w:szCs w:val="22"/>
        </w:rPr>
        <w:t xml:space="preserve">, </w:t>
      </w:r>
      <w:r w:rsidR="005309E5" w:rsidRPr="003131ED">
        <w:rPr>
          <w:sz w:val="22"/>
          <w:szCs w:val="22"/>
        </w:rPr>
        <w:t xml:space="preserve">is rarely associated with HH but </w:t>
      </w:r>
      <w:r w:rsidRPr="003131ED">
        <w:rPr>
          <w:sz w:val="22"/>
          <w:szCs w:val="22"/>
        </w:rPr>
        <w:t xml:space="preserve">has been shown to </w:t>
      </w:r>
      <w:r w:rsidR="005309E5" w:rsidRPr="003131ED">
        <w:rPr>
          <w:sz w:val="22"/>
          <w:szCs w:val="22"/>
        </w:rPr>
        <w:t>alter</w:t>
      </w:r>
      <w:r w:rsidRPr="003131ED">
        <w:rPr>
          <w:sz w:val="22"/>
          <w:szCs w:val="22"/>
        </w:rPr>
        <w:t xml:space="preserve"> brain iron </w:t>
      </w:r>
      <w:r w:rsidR="005309E5" w:rsidRPr="003131ED">
        <w:rPr>
          <w:sz w:val="22"/>
          <w:szCs w:val="22"/>
        </w:rPr>
        <w:t xml:space="preserve">metabolism </w:t>
      </w:r>
      <w:r w:rsidR="008F7048" w:rsidRPr="003131ED">
        <w:rPr>
          <w:sz w:val="22"/>
          <w:szCs w:val="22"/>
        </w:rPr>
        <w:fldChar w:fldCharType="begin" w:fldLock="1"/>
      </w:r>
      <w:r w:rsidR="00931B4F" w:rsidRPr="003131ED">
        <w:rPr>
          <w:sz w:val="22"/>
          <w:szCs w:val="22"/>
        </w:rPr>
        <w:instrText>ADDIN CSL_CITATION {"citationItems":[{"id":"ITEM-1","itemData":{"DOI":"10.1001/jama.285.17.2216","PMID":"11325323","abstract":"CONTEXT Population-based estimates of the prevalence of disease-associated mutations, such as hemochromatosis (HFE) gene mutations, are needed to determine the usefulness of genetic screening. OBJECTIVE To estimate the prevalence of the HFE mutations C282Y and H63D in the US population. DESIGN Cross-sectional population-based study of samples in the DNA bank from phase 2 of the Third National Health and Nutrition Examination Survey conducted from 1992 to 1994. SETTING AND PARTICIPANTS Genotyped samples of cells from a total of 5171 participants, cross-classified by sex, age, and race/ethnicity in the analysis. MAIN OUTCOME MEASURES Estimates of the prevalence of C282Y and H63D mutations. RESULTS The prevalence of C282Y homozygosity is estimated to be 0.26% (95% confidence interval [CI], 0.12%-0.49%); 1.89% (95% CI, 1.48%-2.43%) for H63D homozygosity; and 1.97% (95% CI, 1.54%-2.49%) for compound heterozygosity. The prevalence estimates for C282Y heterozygosity (C282Y/wild type) are 9.54% among non-Hispanic whites, 2.33% among non-Hispanic blacks, and 2.75% among Mexican-Americans. The prevalence estimates of the C282Y mutation in the US population are 5.4% (95% CI, 4.7%-6.2%) and 13.5% (95% CI, 12.5%-14.8%) for the H63D mutation. CONCLUSIONS Estimates of prevalence of HFE mutations are within the expected range for non-Hispanic whites and blacks but the estimated prevalence of the C282Y mutation among Mexican-Americans is less than expected. Mutation data now need to be linked to clinically relevant indices, such as transferrin saturation level.","author":[{"dropping-particle":"","family":"Steinberg","given":"Karen K.","non-dropping-particle":"","parse-names":false,"suffix":""},{"dropping-particle":"","family":"Cogswell","given":"M E","non-dropping-particle":"","parse-names":false,"suffix":""},{"dropping-particle":"","family":"Chang","given":"J C","non-dropping-particle":"","parse-names":false,"suffix":""},{"dropping-particle":"","family":"Caudill","given":"S P","non-dropping-particle":"","parse-names":false,"suffix":""},{"dropping-particle":"","family":"McQuillan","given":"G M","non-dropping-particle":"","parse-names":false,"suffix":""},{"dropping-particle":"","family":"Bowman","given":"B A","non-dropping-particle":"","parse-names":false,"suffix":""},{"dropping-particle":"","family":"Grummer-Strawn","given":"L M","non-dropping-particle":"","parse-names":false,"suffix":""},{"dropping-particle":"","family":"Sampson","given":"E J","non-dropping-particle":"","parse-names":false,"suffix":""},{"dropping-particle":"","family":"Khoury","given":"M J","non-dropping-particle":"","parse-names":false,"suffix":""},{"dropping-particle":"","family":"Gallagher","given":"M L","non-dropping-particle":"","parse-names":false,"suffix":""}],"container-title":"JAMA","id":"ITEM-1","issue":"17","issued":{"date-parts":[["2001","5","2"]]},"page":"2216","title":"Prevalence of C282Y and H63D Mutations in the Hemochromatosis (HFE) Gene in the United States","type":"article-journal","volume":"285"},"uris":["http://www.mendeley.com/documents/?uuid=10235590-375c-340d-9f2c-b5bf332dacdd"]},{"id":"ITEM-2","itemData":{"DOI":"10.1016/j.bbadis.2013.02.009","ISSN":"09254439","PMID":"23429074","abstract":"Because of the increasing evidence that H63D HFE polymorphism appears in higher frequency in neurodegenerative diseases, we evaluated the neurological consequences of H63D HFE in vivo using mice that carry H67D HFE (homologous to human H63D). Although total brain iron concentration did not change significantly in the H67D mice, brain iron management proteins expressions were altered significantly. The 6-month-old H67D mice had increased HFE and H-ferritin expression. At 12 months, H67D mice had increased H- and L-ferritin but decreased transferrin expression suggesting increased iron storage and decreased iron mobilization. Increased L-ferritin positive microglia in H67D mice suggests that microglia increase iron storage to maintain brain iron homeostasis. The 6-month-old H67D mice had increased levels of GFAP, increased oxidatively modified protein levels, and increased cystine/glutamate antiporter (xCT) and hemeoxygenase-1 (HO-1) expression indicating increased metabolic and oxidative stress. By 12 months, there was no longer increased astrogliosis or oxidative stress. The decrease in oxidative stress at 12 months could be related to an adaptive response by nuclear factor E2-related factor 2 (Nrf2) that regulates antioxidant enzymes expression and is increased in the H67D mice. These findings demonstrate that the H63D HFE impacts brain iron homeostasis, and promotes an environment of oxidative stress and induction of adaptive mechanisms. These data, along with literature reports on humans with HFE mutations provide the evidence to overturn the traditional paradigm that the brain is protected from HFE mutations. The H67D knock-in mouse can be used as a model to evaluate how the H63D HFE mutation contributes to neurodegenerative diseases.","author":[{"dropping-particle":"","family":"Nandar","given":"Wint","non-dropping-particle":"","parse-names":false,"suffix":""},{"dropping-particle":"","family":"Neely","given":"Elizabeth B.","non-dropping-particle":"","parse-names":false,"suffix":""},{"dropping-particle":"","family":"Unger","given":"Erica","non-dropping-particle":"","parse-names":false,"suffix":""},{"dropping-particle":"","family":"Connor","given":"James R.","non-dropping-particle":"","parse-names":false,"suffix":""}],"container-title":"Biochimica et Biophysica Acta (BBA) - Molecular Basis of Disease","id":"ITEM-2","issue":"6","issued":{"date-parts":[["2013","6"]]},"page":"729-741","title":"A mutation in the HFE gene is associated with altered brain iron profiles and increased oxidative stress in mice","type":"article-journal","volume":"1832"},"uris":["http://www.mendeley.com/documents/?uuid=364191a3-157f-3455-b064-9101e7d40246"]},{"id":"ITEM-3","itemData":{"DOI":"10.1093/aje/154.3.193","ISSN":"00029262","author":[{"dropping-particle":"","family":"Hanson","given":"E. H.","non-dropping-particle":"","parse-names":false,"suffix":""},{"dropping-particle":"","family":"Imperatore","given":"G.","non-dropping-particle":"","parse-names":false,"suffix":""},{"dropping-particle":"","family":"Burke","given":"W.","non-dropping-particle":"","parse-names":false,"suffix":""}],"container-title":"American Journal of Epidemiology","id":"ITEM-3","issue":"3","issued":{"date-parts":[["2001","8","1"]]},"page":"193-206","title":"HFE Gene and Hereditary Hemochromatosis: A HuGE Review","type":"article-journal","volume":"154"},"uris":["http://www.mendeley.com/documents/?uuid=53cab9a5-3863-4656-9552-53c22d0d52d2"]}],"mendeley":{"formattedCitation":"(Steinberg &lt;i&gt;et al.&lt;/i&gt; 2001; Nandar &lt;i&gt;et al.&lt;/i&gt; 2013; Hanson &lt;i&gt;et al.&lt;/i&gt; 2001)","plainTextFormattedCitation":"(Steinberg et al. 2001; Nandar et al. 2013; Hanson et al. 2001)","previouslyFormattedCitation":"(Steinberg &lt;i&gt;et al.&lt;/i&gt; 2001; Nandar &lt;i&gt;et al.&lt;/i&gt; 2013; Hanson &lt;i&gt;et al.&lt;/i&gt; 2001)"},"properties":{"noteIndex":0},"schema":"https://github.com/citation-style-language/schema/raw/master/csl-citation.json"}</w:instrText>
      </w:r>
      <w:r w:rsidR="008F7048" w:rsidRPr="003131ED">
        <w:rPr>
          <w:sz w:val="22"/>
          <w:szCs w:val="22"/>
        </w:rPr>
        <w:fldChar w:fldCharType="separate"/>
      </w:r>
      <w:r w:rsidR="00931B4F" w:rsidRPr="003131ED">
        <w:rPr>
          <w:noProof/>
          <w:sz w:val="22"/>
          <w:szCs w:val="22"/>
        </w:rPr>
        <w:t xml:space="preserve">(Steinberg </w:t>
      </w:r>
      <w:r w:rsidR="00931B4F" w:rsidRPr="003131ED">
        <w:rPr>
          <w:i/>
          <w:noProof/>
          <w:sz w:val="22"/>
          <w:szCs w:val="22"/>
        </w:rPr>
        <w:t>et al.</w:t>
      </w:r>
      <w:r w:rsidR="00931B4F" w:rsidRPr="003131ED">
        <w:rPr>
          <w:noProof/>
          <w:sz w:val="22"/>
          <w:szCs w:val="22"/>
        </w:rPr>
        <w:t xml:space="preserve"> 2001; Nandar </w:t>
      </w:r>
      <w:r w:rsidR="00931B4F" w:rsidRPr="003131ED">
        <w:rPr>
          <w:i/>
          <w:noProof/>
          <w:sz w:val="22"/>
          <w:szCs w:val="22"/>
        </w:rPr>
        <w:t>et al.</w:t>
      </w:r>
      <w:r w:rsidR="00931B4F" w:rsidRPr="003131ED">
        <w:rPr>
          <w:noProof/>
          <w:sz w:val="22"/>
          <w:szCs w:val="22"/>
        </w:rPr>
        <w:t xml:space="preserve"> 2013; Hanson </w:t>
      </w:r>
      <w:r w:rsidR="00931B4F" w:rsidRPr="003131ED">
        <w:rPr>
          <w:i/>
          <w:noProof/>
          <w:sz w:val="22"/>
          <w:szCs w:val="22"/>
        </w:rPr>
        <w:t>et al.</w:t>
      </w:r>
      <w:r w:rsidR="00931B4F" w:rsidRPr="003131ED">
        <w:rPr>
          <w:noProof/>
          <w:sz w:val="22"/>
          <w:szCs w:val="22"/>
        </w:rPr>
        <w:t xml:space="preserve"> 2001)</w:t>
      </w:r>
      <w:r w:rsidR="008F7048" w:rsidRPr="003131ED">
        <w:rPr>
          <w:sz w:val="22"/>
          <w:szCs w:val="22"/>
        </w:rPr>
        <w:fldChar w:fldCharType="end"/>
      </w:r>
      <w:r w:rsidR="00762FC6" w:rsidRPr="003131ED">
        <w:rPr>
          <w:sz w:val="22"/>
          <w:szCs w:val="22"/>
        </w:rPr>
        <w:t>.</w:t>
      </w:r>
      <w:r w:rsidR="005309E5" w:rsidRPr="003131ED">
        <w:rPr>
          <w:sz w:val="22"/>
          <w:szCs w:val="22"/>
        </w:rPr>
        <w:t xml:space="preserve"> </w:t>
      </w:r>
      <w:r w:rsidR="00F976DC" w:rsidRPr="003131ED">
        <w:rPr>
          <w:sz w:val="22"/>
          <w:szCs w:val="22"/>
        </w:rPr>
        <w:t xml:space="preserve">Furthermore, </w:t>
      </w:r>
      <w:r w:rsidR="00545D27" w:rsidRPr="003131ED">
        <w:rPr>
          <w:sz w:val="22"/>
          <w:szCs w:val="22"/>
        </w:rPr>
        <w:t xml:space="preserve">H67D </w:t>
      </w:r>
      <w:r w:rsidR="00545D27" w:rsidRPr="003131ED">
        <w:rPr>
          <w:i/>
          <w:sz w:val="22"/>
          <w:szCs w:val="22"/>
        </w:rPr>
        <w:t>Hfe</w:t>
      </w:r>
      <w:r w:rsidR="00545D27" w:rsidRPr="003131ED">
        <w:rPr>
          <w:sz w:val="22"/>
          <w:szCs w:val="22"/>
        </w:rPr>
        <w:t xml:space="preserve"> </w:t>
      </w:r>
      <w:r w:rsidR="005309E5" w:rsidRPr="003131ED">
        <w:rPr>
          <w:sz w:val="22"/>
          <w:szCs w:val="22"/>
        </w:rPr>
        <w:t xml:space="preserve">(homologous to human H63D </w:t>
      </w:r>
      <w:r w:rsidR="005309E5" w:rsidRPr="003131ED">
        <w:rPr>
          <w:i/>
          <w:sz w:val="22"/>
          <w:szCs w:val="22"/>
        </w:rPr>
        <w:t>HFE</w:t>
      </w:r>
      <w:r w:rsidR="005309E5" w:rsidRPr="003131ED">
        <w:rPr>
          <w:sz w:val="22"/>
          <w:szCs w:val="22"/>
        </w:rPr>
        <w:t xml:space="preserve">) </w:t>
      </w:r>
      <w:r w:rsidR="00545D27" w:rsidRPr="003131ED">
        <w:rPr>
          <w:sz w:val="22"/>
          <w:szCs w:val="22"/>
        </w:rPr>
        <w:t>expression in mice</w:t>
      </w:r>
      <w:r w:rsidR="005309E5" w:rsidRPr="003131ED">
        <w:rPr>
          <w:sz w:val="22"/>
          <w:szCs w:val="22"/>
        </w:rPr>
        <w:t xml:space="preserve"> </w:t>
      </w:r>
      <w:r w:rsidR="00B069B0" w:rsidRPr="003131ED">
        <w:rPr>
          <w:sz w:val="22"/>
          <w:szCs w:val="22"/>
        </w:rPr>
        <w:t>reportedly</w:t>
      </w:r>
      <w:r w:rsidR="00AE5D82" w:rsidRPr="003131ED">
        <w:rPr>
          <w:sz w:val="22"/>
          <w:szCs w:val="22"/>
        </w:rPr>
        <w:t xml:space="preserve"> </w:t>
      </w:r>
      <w:r w:rsidR="00545D27" w:rsidRPr="003131ED">
        <w:rPr>
          <w:sz w:val="22"/>
          <w:szCs w:val="22"/>
        </w:rPr>
        <w:t>protect</w:t>
      </w:r>
      <w:r w:rsidR="00B069B0" w:rsidRPr="003131ED">
        <w:rPr>
          <w:sz w:val="22"/>
          <w:szCs w:val="22"/>
        </w:rPr>
        <w:t>s</w:t>
      </w:r>
      <w:r w:rsidR="00545D27" w:rsidRPr="003131ED">
        <w:rPr>
          <w:sz w:val="22"/>
          <w:szCs w:val="22"/>
        </w:rPr>
        <w:t xml:space="preserve"> dopaminergic </w:t>
      </w:r>
      <w:r w:rsidR="00BA3A65" w:rsidRPr="003131ED">
        <w:rPr>
          <w:sz w:val="22"/>
          <w:szCs w:val="22"/>
        </w:rPr>
        <w:t>neurons from paraquat toxicity</w:t>
      </w:r>
      <w:r w:rsidR="005309E5" w:rsidRPr="003131ED">
        <w:rPr>
          <w:sz w:val="22"/>
          <w:szCs w:val="22"/>
        </w:rPr>
        <w:t xml:space="preserve">, indicating a potentially protective role of this </w:t>
      </w:r>
      <w:r w:rsidR="005309E5" w:rsidRPr="003131ED">
        <w:rPr>
          <w:i/>
          <w:sz w:val="22"/>
          <w:szCs w:val="22"/>
        </w:rPr>
        <w:t>HFE</w:t>
      </w:r>
      <w:r w:rsidR="005309E5" w:rsidRPr="003131ED">
        <w:rPr>
          <w:sz w:val="22"/>
          <w:szCs w:val="22"/>
        </w:rPr>
        <w:t xml:space="preserve"> variant in Parkinson’s disease</w:t>
      </w:r>
      <w:r w:rsidR="00BA3A65" w:rsidRPr="003131ED">
        <w:rPr>
          <w:sz w:val="22"/>
          <w:szCs w:val="22"/>
        </w:rPr>
        <w:t xml:space="preserve"> </w:t>
      </w:r>
      <w:r w:rsidR="00BA3A65" w:rsidRPr="003131ED">
        <w:rPr>
          <w:sz w:val="22"/>
          <w:szCs w:val="22"/>
        </w:rPr>
        <w:fldChar w:fldCharType="begin" w:fldLock="1"/>
      </w:r>
      <w:r w:rsidR="00D86B9A" w:rsidRPr="003131ED">
        <w:rPr>
          <w:sz w:val="22"/>
          <w:szCs w:val="22"/>
        </w:rPr>
        <w:instrText>ADDIN CSL_CITATION {"citationItems":[{"id":"ITEM-1","itemData":{"DOI":"10.1111/jnc.14299","ISSN":"00223042","PMID":"29315562","abstract":"Parkinson's disease is marked clinically by motor dysfunction and pathologically by dopaminergic cell loss in the substantia nigra and iron accumulation in the substantia nigra. The driver underlying iron accumulation remains unknown and could be genetic or environmental. The HFE protein is critical for the regulation of cellular iron uptake. Mutations within this protein are associated with increased iron accumulation including in the brain. We have focused on the commonly occurring H63D variant of the HFE gene as a disease modifier in a number of neurodegenerative diseases. To investigate the role of H63D HFE genotype, we generated a mouse model in which the wild-type (WT) HFE gene is replaced by the H67D gene variant (mouse homolog of the human H63D gene variant). Using paraquat toxicity as the model for Parkinson's disease, we found that WT mice responded as expected with significantly greater motor function, loss of tyrosine hydroxylase staining and increase microglial staining in the substantia nigra, and an increase in R2 relaxation rate within the substantia nigra of the paraquat-treated mice compared to their saline-treated counterparts. In contrast, the H67D mice showed a remarkable resistance to paraquat treatment; specifically differing from the WT mice with no changes in motor function or changes in R2 relaxation rates following paraquat exposure. At baseline, there were differences between the H67D HFE mice and WT mice in gut microbiome profile and increased L-ferritin staining in the substantia nigra that could account for the resistance to paraquat. Of particular note, the H67D HFE mice regardless of whether or not they were treated with paraquat had significantly less tyrosine hydroxylase immunostaining than WT. Our results clearly demonstrate that the HFE genotype impacts the expression of tyrosine hydroxylase in the substantia nigra, the gut microbiome and the response to paraquat providing additional support that the HFE genotype is a disease modifier for Parkinson's disease. Moreover, the finding that the HFE mutant mice are resistant to paraquat may provide a model in which to study resistant mechanisms to neurotoxicants.","author":[{"dropping-particle":"","family":"Nixon","given":"Anne M.","non-dropping-particle":"","parse-names":false,"suffix":""},{"dropping-particle":"","family":"Meadowcroft","given":"Mark D.","non-dropping-particle":"","parse-names":false,"suffix":""},{"dropping-particle":"","family":"Neely","given":"Elizabeth B.","non-dropping-particle":"","parse-names":false,"suffix":""},{"dropping-particle":"","family":"Snyder","given":"Amanda M.","non-dropping-particle":"","parse-names":false,"suffix":""},{"dropping-particle":"","family":"Purnell","given":"Carson J.","non-dropping-particle":"","parse-names":false,"suffix":""},{"dropping-particle":"","family":"Wright","given":"Justin","non-dropping-particle":"","parse-names":false,"suffix":""},{"dropping-particle":"","family":"Lamendella","given":"Regina","non-dropping-particle":"","parse-names":false,"suffix":""},{"dropping-particle":"","family":"Nandar","given":"Wint","non-dropping-particle":"","parse-names":false,"suffix":""},{"dropping-particle":"","family":"Huang","given":"Xuemei","non-dropping-particle":"","parse-names":false,"suffix":""},{"dropping-particle":"","family":"Connor","given":"James R.","non-dropping-particle":"","parse-names":false,"suffix":""}],"container-title":"Journal of Neurochemistry","id":"ITEM-1","issue":"4","issued":{"date-parts":[["2018","5"]]},"page":"299-311","title":"HFE Genotype Restricts the Response to Paraquat in a Mouse Model of Neurotoxicity","type":"article-journal","volume":"145"},"uris":["http://www.mendeley.com/documents/?uuid=91d467f8-61d0-307b-b2d1-a0ac2aab117f"]}],"mendeley":{"formattedCitation":"(Nixon &lt;i&gt;et al.&lt;/i&gt; 2018)","plainTextFormattedCitation":"(Nixon et al. 2018)","previouslyFormattedCitation":"(Nixon &lt;i&gt;et al.&lt;/i&gt; 2018)"},"properties":{"noteIndex":0},"schema":"https://github.com/citation-style-language/schema/raw/master/csl-citation.json"}</w:instrText>
      </w:r>
      <w:r w:rsidR="00BA3A65" w:rsidRPr="003131ED">
        <w:rPr>
          <w:sz w:val="22"/>
          <w:szCs w:val="22"/>
        </w:rPr>
        <w:fldChar w:fldCharType="separate"/>
      </w:r>
      <w:r w:rsidR="00D86B9A" w:rsidRPr="003131ED">
        <w:rPr>
          <w:noProof/>
          <w:sz w:val="22"/>
          <w:szCs w:val="22"/>
        </w:rPr>
        <w:t xml:space="preserve">(Nixon </w:t>
      </w:r>
      <w:r w:rsidR="00D86B9A" w:rsidRPr="003131ED">
        <w:rPr>
          <w:i/>
          <w:noProof/>
          <w:sz w:val="22"/>
          <w:szCs w:val="22"/>
        </w:rPr>
        <w:t>et al.</w:t>
      </w:r>
      <w:r w:rsidR="00D86B9A" w:rsidRPr="003131ED">
        <w:rPr>
          <w:noProof/>
          <w:sz w:val="22"/>
          <w:szCs w:val="22"/>
        </w:rPr>
        <w:t xml:space="preserve"> 2018)</w:t>
      </w:r>
      <w:r w:rsidR="00BA3A65" w:rsidRPr="003131ED">
        <w:rPr>
          <w:sz w:val="22"/>
          <w:szCs w:val="22"/>
        </w:rPr>
        <w:fldChar w:fldCharType="end"/>
      </w:r>
      <w:r w:rsidR="00BA3A65" w:rsidRPr="003131ED">
        <w:rPr>
          <w:sz w:val="22"/>
          <w:szCs w:val="22"/>
        </w:rPr>
        <w:t>.</w:t>
      </w:r>
    </w:p>
    <w:p w14:paraId="1F36343D" w14:textId="77777777" w:rsidR="001451FF" w:rsidRPr="003131ED" w:rsidRDefault="001451FF" w:rsidP="00D0468C">
      <w:pPr>
        <w:spacing w:line="360" w:lineRule="auto"/>
        <w:jc w:val="both"/>
        <w:rPr>
          <w:sz w:val="22"/>
          <w:szCs w:val="22"/>
        </w:rPr>
      </w:pPr>
    </w:p>
    <w:p w14:paraId="6F5C8A19" w14:textId="7C644F86" w:rsidR="00DE2545" w:rsidRPr="003131ED" w:rsidRDefault="00143D70" w:rsidP="00D0468C">
      <w:pPr>
        <w:spacing w:line="360" w:lineRule="auto"/>
        <w:jc w:val="both"/>
        <w:rPr>
          <w:sz w:val="22"/>
          <w:szCs w:val="22"/>
        </w:rPr>
      </w:pPr>
      <w:r w:rsidRPr="003131ED">
        <w:rPr>
          <w:sz w:val="22"/>
          <w:szCs w:val="22"/>
        </w:rPr>
        <w:t xml:space="preserve">In this study, we investigated the effects of </w:t>
      </w:r>
      <w:r w:rsidR="00B069B0" w:rsidRPr="003131ED">
        <w:rPr>
          <w:sz w:val="22"/>
          <w:szCs w:val="22"/>
        </w:rPr>
        <w:t xml:space="preserve">the </w:t>
      </w:r>
      <w:r w:rsidRPr="003131ED">
        <w:rPr>
          <w:sz w:val="22"/>
          <w:szCs w:val="22"/>
        </w:rPr>
        <w:t xml:space="preserve">H63D </w:t>
      </w:r>
      <w:r w:rsidRPr="003131ED">
        <w:rPr>
          <w:i/>
          <w:sz w:val="22"/>
          <w:szCs w:val="22"/>
        </w:rPr>
        <w:t>HFE</w:t>
      </w:r>
      <w:r w:rsidRPr="003131ED">
        <w:rPr>
          <w:sz w:val="22"/>
          <w:szCs w:val="22"/>
        </w:rPr>
        <w:t xml:space="preserve"> variant on </w:t>
      </w:r>
      <w:r w:rsidRPr="003131ED">
        <w:rPr>
          <w:sz w:val="22"/>
          <w:szCs w:val="22"/>
        </w:rPr>
        <w:sym w:font="Symbol" w:char="F061"/>
      </w:r>
      <w:r w:rsidR="00666F8D" w:rsidRPr="003131ED">
        <w:rPr>
          <w:sz w:val="22"/>
          <w:szCs w:val="22"/>
        </w:rPr>
        <w:t xml:space="preserve">-synuclein </w:t>
      </w:r>
      <w:r w:rsidR="00706ED7" w:rsidRPr="003131ED">
        <w:rPr>
          <w:sz w:val="22"/>
          <w:szCs w:val="22"/>
        </w:rPr>
        <w:t xml:space="preserve">metabolism </w:t>
      </w:r>
      <w:r w:rsidR="00666F8D" w:rsidRPr="003131ED">
        <w:rPr>
          <w:i/>
          <w:sz w:val="22"/>
          <w:szCs w:val="22"/>
        </w:rPr>
        <w:t>in vitro</w:t>
      </w:r>
      <w:r w:rsidR="00E87C91" w:rsidRPr="003131ED">
        <w:rPr>
          <w:sz w:val="22"/>
          <w:szCs w:val="22"/>
        </w:rPr>
        <w:t xml:space="preserve"> and </w:t>
      </w:r>
      <w:r w:rsidR="00E87C91" w:rsidRPr="003131ED">
        <w:rPr>
          <w:i/>
          <w:sz w:val="22"/>
          <w:szCs w:val="22"/>
        </w:rPr>
        <w:t>in vivo</w:t>
      </w:r>
      <w:r w:rsidR="00E87C91" w:rsidRPr="003131ED">
        <w:rPr>
          <w:sz w:val="22"/>
          <w:szCs w:val="22"/>
        </w:rPr>
        <w:t xml:space="preserve"> </w:t>
      </w:r>
      <w:r w:rsidR="00706ED7" w:rsidRPr="003131ED">
        <w:rPr>
          <w:sz w:val="22"/>
          <w:szCs w:val="22"/>
        </w:rPr>
        <w:t xml:space="preserve">using </w:t>
      </w:r>
      <w:r w:rsidR="000566B3" w:rsidRPr="003131ED">
        <w:rPr>
          <w:sz w:val="22"/>
          <w:szCs w:val="22"/>
        </w:rPr>
        <w:t>pre-formed fibrils</w:t>
      </w:r>
      <w:r w:rsidR="00666F8D" w:rsidRPr="003131ED">
        <w:rPr>
          <w:sz w:val="22"/>
          <w:szCs w:val="22"/>
        </w:rPr>
        <w:t xml:space="preserve"> </w:t>
      </w:r>
      <w:r w:rsidR="00E87C91" w:rsidRPr="003131ED">
        <w:rPr>
          <w:sz w:val="22"/>
          <w:szCs w:val="22"/>
        </w:rPr>
        <w:t xml:space="preserve">as a </w:t>
      </w:r>
      <w:r w:rsidR="000566B3" w:rsidRPr="003131ED">
        <w:rPr>
          <w:sz w:val="22"/>
          <w:szCs w:val="22"/>
        </w:rPr>
        <w:t>model</w:t>
      </w:r>
      <w:r w:rsidR="00666F8D" w:rsidRPr="003131ED">
        <w:rPr>
          <w:sz w:val="22"/>
          <w:szCs w:val="22"/>
        </w:rPr>
        <w:t xml:space="preserve"> of Parkinson’s disease. </w:t>
      </w:r>
      <w:r w:rsidRPr="003131ED">
        <w:rPr>
          <w:sz w:val="22"/>
          <w:szCs w:val="22"/>
        </w:rPr>
        <w:t xml:space="preserve">We also tested </w:t>
      </w:r>
      <w:r w:rsidR="00706ED7" w:rsidRPr="003131ED">
        <w:rPr>
          <w:sz w:val="22"/>
          <w:szCs w:val="22"/>
        </w:rPr>
        <w:t xml:space="preserve">the effects </w:t>
      </w:r>
      <w:r w:rsidRPr="003131ED">
        <w:rPr>
          <w:sz w:val="22"/>
          <w:szCs w:val="22"/>
        </w:rPr>
        <w:t xml:space="preserve">of </w:t>
      </w:r>
      <w:r w:rsidR="00706ED7" w:rsidRPr="003131ED">
        <w:rPr>
          <w:sz w:val="22"/>
          <w:szCs w:val="22"/>
        </w:rPr>
        <w:t xml:space="preserve">an </w:t>
      </w:r>
      <w:r w:rsidRPr="003131ED">
        <w:rPr>
          <w:sz w:val="22"/>
          <w:szCs w:val="22"/>
        </w:rPr>
        <w:t xml:space="preserve">iron chelator, deferiprone, on </w:t>
      </w:r>
      <w:r w:rsidR="00706ED7" w:rsidRPr="003131ED">
        <w:rPr>
          <w:sz w:val="22"/>
          <w:szCs w:val="22"/>
        </w:rPr>
        <w:t xml:space="preserve">the toxicity of </w:t>
      </w:r>
      <w:r w:rsidR="00706ED7" w:rsidRPr="003131ED">
        <w:rPr>
          <w:sz w:val="22"/>
          <w:szCs w:val="22"/>
        </w:rPr>
        <w:sym w:font="Symbol" w:char="F061"/>
      </w:r>
      <w:r w:rsidR="00706ED7" w:rsidRPr="003131ED">
        <w:rPr>
          <w:sz w:val="22"/>
          <w:szCs w:val="22"/>
        </w:rPr>
        <w:t xml:space="preserve">-synuclein PFFs in cells expressing WT and H63D </w:t>
      </w:r>
      <w:r w:rsidR="00706ED7" w:rsidRPr="003131ED">
        <w:rPr>
          <w:i/>
          <w:sz w:val="22"/>
          <w:szCs w:val="22"/>
        </w:rPr>
        <w:t>HFE</w:t>
      </w:r>
      <w:r w:rsidRPr="003131ED">
        <w:rPr>
          <w:sz w:val="22"/>
          <w:szCs w:val="22"/>
        </w:rPr>
        <w:t xml:space="preserve">. </w:t>
      </w:r>
    </w:p>
    <w:p w14:paraId="72EBDC6C" w14:textId="77777777" w:rsidR="00C97BF6" w:rsidRPr="003131ED" w:rsidRDefault="00C97BF6" w:rsidP="00D0468C">
      <w:pPr>
        <w:spacing w:line="360" w:lineRule="auto"/>
        <w:jc w:val="both"/>
        <w:rPr>
          <w:rFonts w:eastAsia="Arial"/>
          <w:b/>
          <w:sz w:val="22"/>
          <w:szCs w:val="22"/>
        </w:rPr>
      </w:pPr>
    </w:p>
    <w:p w14:paraId="2FE42948" w14:textId="5F107896" w:rsidR="00CD173D" w:rsidRPr="00CD173D" w:rsidRDefault="00DE2545" w:rsidP="00D0468C">
      <w:pPr>
        <w:spacing w:line="360" w:lineRule="auto"/>
        <w:jc w:val="both"/>
        <w:rPr>
          <w:rFonts w:eastAsia="Arial"/>
          <w:b/>
        </w:rPr>
      </w:pPr>
      <w:r w:rsidRPr="003131ED">
        <w:rPr>
          <w:rFonts w:eastAsia="Arial"/>
          <w:b/>
        </w:rPr>
        <w:t>Materials and Methods</w:t>
      </w:r>
    </w:p>
    <w:p w14:paraId="6A247EB8" w14:textId="2AEF0D76" w:rsidR="00DE2545" w:rsidRPr="003131ED" w:rsidRDefault="00DE2545" w:rsidP="00D0468C">
      <w:pPr>
        <w:spacing w:line="360" w:lineRule="auto"/>
        <w:jc w:val="both"/>
        <w:rPr>
          <w:rFonts w:eastAsia="Arial"/>
          <w:b/>
          <w:sz w:val="22"/>
          <w:szCs w:val="22"/>
        </w:rPr>
      </w:pPr>
      <w:r w:rsidRPr="003131ED">
        <w:rPr>
          <w:rFonts w:eastAsia="Arial"/>
          <w:b/>
          <w:sz w:val="22"/>
          <w:szCs w:val="22"/>
        </w:rPr>
        <w:t>Cell culture</w:t>
      </w:r>
    </w:p>
    <w:p w14:paraId="455420A3" w14:textId="564DDE26" w:rsidR="00DE2545" w:rsidRPr="003131ED" w:rsidRDefault="004875EA" w:rsidP="00D0468C">
      <w:pPr>
        <w:spacing w:line="360" w:lineRule="auto"/>
        <w:jc w:val="both"/>
        <w:rPr>
          <w:rFonts w:eastAsia="Arial"/>
          <w:color w:val="FF0000"/>
          <w:sz w:val="22"/>
          <w:szCs w:val="22"/>
        </w:rPr>
      </w:pPr>
      <w:r w:rsidRPr="004875EA">
        <w:rPr>
          <w:rFonts w:eastAsia="Arial"/>
          <w:sz w:val="22"/>
          <w:szCs w:val="22"/>
          <w:highlight w:val="yellow"/>
        </w:rPr>
        <w:t>This study was not pre-registered</w:t>
      </w:r>
      <w:r>
        <w:rPr>
          <w:rFonts w:eastAsia="Arial"/>
          <w:sz w:val="22"/>
          <w:szCs w:val="22"/>
        </w:rPr>
        <w:t xml:space="preserve">. </w:t>
      </w:r>
      <w:r w:rsidR="00DE2545" w:rsidRPr="003131ED">
        <w:rPr>
          <w:rFonts w:eastAsia="Arial"/>
          <w:sz w:val="22"/>
          <w:szCs w:val="22"/>
        </w:rPr>
        <w:t xml:space="preserve">SH-SY5Y </w:t>
      </w:r>
      <w:r w:rsidR="003F51A8" w:rsidRPr="003131ED">
        <w:rPr>
          <w:rFonts w:eastAsia="Arial"/>
          <w:sz w:val="22"/>
          <w:szCs w:val="22"/>
        </w:rPr>
        <w:t xml:space="preserve">neuroblastoma </w:t>
      </w:r>
      <w:r w:rsidR="00DE2545" w:rsidRPr="003131ED">
        <w:rPr>
          <w:rFonts w:eastAsia="Arial"/>
          <w:sz w:val="22"/>
          <w:szCs w:val="22"/>
        </w:rPr>
        <w:t xml:space="preserve">cells </w:t>
      </w:r>
      <w:r w:rsidR="00FF2E95" w:rsidRPr="003131ED">
        <w:rPr>
          <w:rFonts w:eastAsia="Arial"/>
          <w:sz w:val="22"/>
          <w:szCs w:val="22"/>
        </w:rPr>
        <w:t xml:space="preserve">transfected to stably express WT or H63D </w:t>
      </w:r>
      <w:r w:rsidR="00FF2E95" w:rsidRPr="003131ED">
        <w:rPr>
          <w:rFonts w:eastAsia="Arial"/>
          <w:i/>
          <w:sz w:val="22"/>
          <w:szCs w:val="22"/>
        </w:rPr>
        <w:t>HFE</w:t>
      </w:r>
      <w:r w:rsidR="00FF2E95" w:rsidRPr="003131ED">
        <w:rPr>
          <w:rFonts w:eastAsia="Arial"/>
          <w:sz w:val="22"/>
          <w:szCs w:val="22"/>
        </w:rPr>
        <w:t xml:space="preserve"> </w:t>
      </w:r>
      <w:r w:rsidR="00DE2545" w:rsidRPr="003131ED">
        <w:rPr>
          <w:rFonts w:eastAsia="Arial"/>
          <w:sz w:val="22"/>
          <w:szCs w:val="22"/>
        </w:rPr>
        <w:t>wer</w:t>
      </w:r>
      <w:r w:rsidR="008274DA" w:rsidRPr="003131ED">
        <w:rPr>
          <w:rFonts w:eastAsia="Arial"/>
          <w:sz w:val="22"/>
          <w:szCs w:val="22"/>
        </w:rPr>
        <w:t xml:space="preserve">e used for all experiments </w:t>
      </w:r>
      <w:r w:rsidR="008274DA" w:rsidRPr="003131ED">
        <w:rPr>
          <w:rFonts w:eastAsia="Arial"/>
          <w:sz w:val="22"/>
          <w:szCs w:val="22"/>
        </w:rPr>
        <w:fldChar w:fldCharType="begin" w:fldLock="1"/>
      </w:r>
      <w:r w:rsidR="00D86B9A" w:rsidRPr="003131ED">
        <w:rPr>
          <w:rFonts w:eastAsia="Arial"/>
          <w:sz w:val="22"/>
          <w:szCs w:val="22"/>
        </w:rPr>
        <w:instrText>ADDIN CSL_CITATION {"citationItems":[{"id":"ITEM-1","itemData":{"DOI":"10.1096/fj.06-6397com","ISBN":"1530-6860 (Electronic)\\r0892-6638 (Linking)","ISSN":"1530-6860","PMID":"17194693","abstract":"HFE mutations have traditionally been associated with the iron overload disorder known as hemochromatosis. Recently, it has become clear that the two most common mutations in the HFE gene, H63D and C282Y, may be genetic modifiers for risk of neurodegenerative disorders and cancer, respectively. We developed human neuroblastoma stable cell lines that express either wild-type (WT) or mutant HFE to determine the cellular consequences of the mutant forms of HFE. The presence of the C282Y mutation was associated with relatively higher labile iron pool and iron regulatory protein activity than WT or H63D HFE. Targeted gene arrays revealed that the signal transduction pathway was up-regulated in the C282Y cells. H63D cells had higher levels of lipid peroxidation, protein oxidation, and lower mitochondrial membrane potential, suggesting higher baseline stress. This cell line was also more vulnerable to exposure to oxidative stress agents and more responsive to iron chelation than the C282Y cells. These data demonstrate that the different mutations in the HFE gene have unique effects on the cells and provide insights into how the different mutations may have different clinical consequences. The results also raise multiple novel questions for future study about the function of the HFE protein.","author":[{"dropping-particle":"","family":"Lee","given":"Sang Y.","non-dropping-particle":"","parse-names":false,"suffix":""},{"dropping-particle":"","family":"Patton","given":"Stephanie M.","non-dropping-particle":"","parse-names":false,"suffix":""},{"dropping-particle":"","family":"Henderson","given":"Rebecca J.","non-dropping-particle":"","parse-names":false,"suffix":""},{"dropping-particle":"","family":"Connor","given":"James R.","non-dropping-particle":"","parse-names":false,"suffix":""}],"container-title":"The FASEB Journal","id":"ITEM-1","issue":"2","issued":{"date-parts":[["2007","2","1"]]},"page":"564-576","title":"Consequences of expressing mutants of the hemochromatosis gene (HFE) into a human neuronal cell line lacking endogenous HFE","type":"article-journal","volume":"21"},"uris":["http://www.mendeley.com/documents/?uuid=2c11cfc5-db99-4b41-8801-6d64ad3c2820"]}],"mendeley":{"formattedCitation":"(Lee &lt;i&gt;et al.&lt;/i&gt; 2007)","plainTextFormattedCitation":"(Lee et al. 2007)","previouslyFormattedCitation":"(Lee &lt;i&gt;et al.&lt;/i&gt; 2007)"},"properties":{"noteIndex":0},"schema":"https://github.com/citation-style-language/schema/raw/master/csl-citation.json"}</w:instrText>
      </w:r>
      <w:r w:rsidR="008274DA" w:rsidRPr="003131ED">
        <w:rPr>
          <w:rFonts w:eastAsia="Arial"/>
          <w:sz w:val="22"/>
          <w:szCs w:val="22"/>
        </w:rPr>
        <w:fldChar w:fldCharType="separate"/>
      </w:r>
      <w:r w:rsidR="00D86B9A" w:rsidRPr="003131ED">
        <w:rPr>
          <w:rFonts w:eastAsia="Arial"/>
          <w:noProof/>
          <w:sz w:val="22"/>
          <w:szCs w:val="22"/>
        </w:rPr>
        <w:t xml:space="preserve">(Lee </w:t>
      </w:r>
      <w:r w:rsidR="00D86B9A" w:rsidRPr="003131ED">
        <w:rPr>
          <w:rFonts w:eastAsia="Arial"/>
          <w:i/>
          <w:noProof/>
          <w:sz w:val="22"/>
          <w:szCs w:val="22"/>
        </w:rPr>
        <w:t>et al.</w:t>
      </w:r>
      <w:r w:rsidR="00D86B9A" w:rsidRPr="003131ED">
        <w:rPr>
          <w:rFonts w:eastAsia="Arial"/>
          <w:noProof/>
          <w:sz w:val="22"/>
          <w:szCs w:val="22"/>
        </w:rPr>
        <w:t xml:space="preserve"> 2007)</w:t>
      </w:r>
      <w:r w:rsidR="008274DA" w:rsidRPr="003131ED">
        <w:rPr>
          <w:rFonts w:eastAsia="Arial"/>
          <w:sz w:val="22"/>
          <w:szCs w:val="22"/>
        </w:rPr>
        <w:fldChar w:fldCharType="end"/>
      </w:r>
      <w:r w:rsidR="00DE2545" w:rsidRPr="003131ED">
        <w:rPr>
          <w:rFonts w:eastAsia="Arial"/>
          <w:sz w:val="22"/>
          <w:szCs w:val="22"/>
        </w:rPr>
        <w:t xml:space="preserve">. </w:t>
      </w:r>
      <w:r w:rsidR="00683AB4" w:rsidRPr="003131ED">
        <w:rPr>
          <w:rFonts w:eastAsia="Arial"/>
          <w:sz w:val="22"/>
          <w:szCs w:val="22"/>
        </w:rPr>
        <w:t xml:space="preserve">Dr. Sang Lee, Ph.D. (Penn State College of Medicine) kindly provided the cells. </w:t>
      </w:r>
      <w:r w:rsidR="00AF68C9" w:rsidRPr="003131ED">
        <w:rPr>
          <w:rFonts w:eastAsia="Arial"/>
          <w:sz w:val="22"/>
          <w:szCs w:val="22"/>
        </w:rPr>
        <w:t xml:space="preserve">SH-SY5Y are not listed as a commonly misidentified cell line by the ICLAC. </w:t>
      </w:r>
      <w:r w:rsidR="00843A9D" w:rsidRPr="003131ED">
        <w:rPr>
          <w:rFonts w:eastAsia="Arial"/>
          <w:sz w:val="22"/>
          <w:szCs w:val="22"/>
        </w:rPr>
        <w:t xml:space="preserve">The parental SH-SY5Y cells were last authenticated on 1/18/19 </w:t>
      </w:r>
      <w:r w:rsidR="008A3FE8" w:rsidRPr="003131ED">
        <w:rPr>
          <w:rFonts w:eastAsia="Arial"/>
          <w:sz w:val="22"/>
          <w:szCs w:val="22"/>
        </w:rPr>
        <w:t xml:space="preserve">through </w:t>
      </w:r>
      <w:proofErr w:type="spellStart"/>
      <w:r w:rsidR="008A3FE8" w:rsidRPr="003131ED">
        <w:rPr>
          <w:rFonts w:eastAsia="Arial"/>
          <w:sz w:val="22"/>
          <w:szCs w:val="22"/>
        </w:rPr>
        <w:t>Genetica</w:t>
      </w:r>
      <w:proofErr w:type="spellEnd"/>
      <w:r w:rsidR="008A3FE8" w:rsidRPr="003131ED">
        <w:rPr>
          <w:rFonts w:eastAsia="Arial"/>
          <w:sz w:val="22"/>
          <w:szCs w:val="22"/>
        </w:rPr>
        <w:t xml:space="preserve">. </w:t>
      </w:r>
      <w:r w:rsidR="007A3C06" w:rsidRPr="003131ED">
        <w:rPr>
          <w:rFonts w:eastAsia="Arial"/>
          <w:i/>
          <w:sz w:val="22"/>
          <w:szCs w:val="22"/>
        </w:rPr>
        <w:t>HFE</w:t>
      </w:r>
      <w:r w:rsidR="007A3C06" w:rsidRPr="003131ED">
        <w:rPr>
          <w:rFonts w:eastAsia="Arial"/>
          <w:sz w:val="22"/>
          <w:szCs w:val="22"/>
        </w:rPr>
        <w:t xml:space="preserve"> gene transfection and expression were confirmed using PCR and western blot using FLAG/HFE antibodies. Western blot</w:t>
      </w:r>
      <w:r w:rsidR="00231037" w:rsidRPr="003131ED">
        <w:rPr>
          <w:rFonts w:eastAsia="Arial"/>
          <w:sz w:val="22"/>
          <w:szCs w:val="22"/>
        </w:rPr>
        <w:t>s</w:t>
      </w:r>
      <w:r w:rsidR="007A3C06" w:rsidRPr="003131ED">
        <w:rPr>
          <w:rFonts w:eastAsia="Arial"/>
          <w:sz w:val="22"/>
          <w:szCs w:val="22"/>
        </w:rPr>
        <w:t xml:space="preserve"> of whole cell homogenates were als</w:t>
      </w:r>
      <w:r w:rsidR="008A3FE8" w:rsidRPr="003131ED">
        <w:rPr>
          <w:rFonts w:eastAsia="Arial"/>
          <w:sz w:val="22"/>
          <w:szCs w:val="22"/>
        </w:rPr>
        <w:t>o</w:t>
      </w:r>
      <w:r w:rsidR="007A3C06" w:rsidRPr="003131ED">
        <w:rPr>
          <w:rFonts w:eastAsia="Arial"/>
          <w:sz w:val="22"/>
          <w:szCs w:val="22"/>
        </w:rPr>
        <w:t xml:space="preserve"> used to identify any differences in protein expression. </w:t>
      </w:r>
      <w:r w:rsidR="00DE2545" w:rsidRPr="003131ED">
        <w:rPr>
          <w:rFonts w:eastAsia="Arial"/>
          <w:sz w:val="22"/>
          <w:szCs w:val="22"/>
        </w:rPr>
        <w:t>Cells were cultured in accordance with guidelines from A</w:t>
      </w:r>
      <w:r w:rsidR="00921A7F" w:rsidRPr="003131ED">
        <w:rPr>
          <w:rFonts w:eastAsia="Arial"/>
          <w:sz w:val="22"/>
          <w:szCs w:val="22"/>
        </w:rPr>
        <w:t>merican Type Culture Collection (ATCC)</w:t>
      </w:r>
      <w:r w:rsidR="00DE2545" w:rsidRPr="003131ED">
        <w:rPr>
          <w:rFonts w:eastAsia="Arial"/>
          <w:sz w:val="22"/>
          <w:szCs w:val="22"/>
        </w:rPr>
        <w:t>. Briefly, cells were cultured in DMEM/F12 medium (Invitrogen</w:t>
      </w:r>
      <w:r w:rsidR="009046C0" w:rsidRPr="003131ED">
        <w:rPr>
          <w:rFonts w:eastAsia="Arial"/>
          <w:sz w:val="22"/>
          <w:szCs w:val="22"/>
        </w:rPr>
        <w:t>; Cat no: 11330032</w:t>
      </w:r>
      <w:r w:rsidR="00DE2545" w:rsidRPr="003131ED">
        <w:rPr>
          <w:rFonts w:eastAsia="Arial"/>
          <w:sz w:val="22"/>
          <w:szCs w:val="22"/>
        </w:rPr>
        <w:t>) containing 10% fetal bovine serum (</w:t>
      </w:r>
      <w:proofErr w:type="spellStart"/>
      <w:r w:rsidR="00DE2545" w:rsidRPr="003131ED">
        <w:rPr>
          <w:rFonts w:eastAsia="Arial"/>
          <w:sz w:val="22"/>
          <w:szCs w:val="22"/>
        </w:rPr>
        <w:t>HyClone</w:t>
      </w:r>
      <w:proofErr w:type="spellEnd"/>
      <w:r w:rsidR="009046C0" w:rsidRPr="003131ED">
        <w:rPr>
          <w:rFonts w:eastAsia="Arial"/>
          <w:sz w:val="22"/>
          <w:szCs w:val="22"/>
        </w:rPr>
        <w:t>; Cat no: SH30071.03IH25-40</w:t>
      </w:r>
      <w:r w:rsidR="00DE2545" w:rsidRPr="003131ED">
        <w:rPr>
          <w:rFonts w:eastAsia="Arial"/>
          <w:sz w:val="22"/>
          <w:szCs w:val="22"/>
        </w:rPr>
        <w:t>), 100 U/mL penicillin-</w:t>
      </w:r>
      <w:r w:rsidR="00DE2545" w:rsidRPr="003131ED">
        <w:rPr>
          <w:rFonts w:eastAsia="Arial"/>
          <w:sz w:val="22"/>
          <w:szCs w:val="22"/>
        </w:rPr>
        <w:lastRenderedPageBreak/>
        <w:t>streptomycin (Gibco</w:t>
      </w:r>
      <w:r w:rsidR="009046C0" w:rsidRPr="003131ED">
        <w:rPr>
          <w:rFonts w:eastAsia="Arial"/>
          <w:sz w:val="22"/>
          <w:szCs w:val="22"/>
        </w:rPr>
        <w:t>; Cat no: 15140122</w:t>
      </w:r>
      <w:r w:rsidR="00DE2545" w:rsidRPr="003131ED">
        <w:rPr>
          <w:rFonts w:eastAsia="Arial"/>
          <w:sz w:val="22"/>
          <w:szCs w:val="22"/>
        </w:rPr>
        <w:t>), MEM non-essential amino acids (Gibco</w:t>
      </w:r>
      <w:r w:rsidR="00873851" w:rsidRPr="003131ED">
        <w:rPr>
          <w:rFonts w:eastAsia="Arial"/>
          <w:sz w:val="22"/>
          <w:szCs w:val="22"/>
        </w:rPr>
        <w:t xml:space="preserve">; </w:t>
      </w:r>
      <w:r w:rsidR="00AA12C0" w:rsidRPr="003131ED">
        <w:rPr>
          <w:rFonts w:eastAsia="Arial"/>
          <w:sz w:val="22"/>
          <w:szCs w:val="22"/>
        </w:rPr>
        <w:t>Cat no: 11140050</w:t>
      </w:r>
      <w:r w:rsidR="00DE2545" w:rsidRPr="003131ED">
        <w:rPr>
          <w:rFonts w:eastAsia="Arial"/>
          <w:sz w:val="22"/>
          <w:szCs w:val="22"/>
        </w:rPr>
        <w:t>), and 250ug/mL Geneticin (Gibco</w:t>
      </w:r>
      <w:r w:rsidR="00AA12C0" w:rsidRPr="003131ED">
        <w:rPr>
          <w:rFonts w:eastAsia="Arial"/>
          <w:sz w:val="22"/>
          <w:szCs w:val="22"/>
        </w:rPr>
        <w:t>;</w:t>
      </w:r>
      <w:r w:rsidR="00A350F7" w:rsidRPr="003131ED">
        <w:rPr>
          <w:rFonts w:eastAsia="Arial"/>
          <w:sz w:val="22"/>
          <w:szCs w:val="22"/>
        </w:rPr>
        <w:t xml:space="preserve"> Cat no: 10131027</w:t>
      </w:r>
      <w:r w:rsidR="00DE2545" w:rsidRPr="003131ED">
        <w:rPr>
          <w:rFonts w:eastAsia="Arial"/>
          <w:sz w:val="22"/>
          <w:szCs w:val="22"/>
        </w:rPr>
        <w:t>). Cells were incubated in 5% CO</w:t>
      </w:r>
      <w:r w:rsidR="00DE2545" w:rsidRPr="003131ED">
        <w:rPr>
          <w:rFonts w:eastAsia="Arial"/>
          <w:sz w:val="22"/>
          <w:szCs w:val="22"/>
          <w:vertAlign w:val="subscript"/>
        </w:rPr>
        <w:t>2</w:t>
      </w:r>
      <w:r w:rsidR="00DE2545" w:rsidRPr="003131ED">
        <w:rPr>
          <w:rFonts w:eastAsia="Arial"/>
          <w:sz w:val="22"/>
          <w:szCs w:val="22"/>
        </w:rPr>
        <w:t xml:space="preserve"> at 37</w:t>
      </w:r>
      <w:r w:rsidR="00DE2545" w:rsidRPr="003131ED">
        <w:rPr>
          <w:rFonts w:eastAsia="Arial"/>
          <w:sz w:val="22"/>
          <w:szCs w:val="22"/>
          <w:vertAlign w:val="superscript"/>
        </w:rPr>
        <w:t>o</w:t>
      </w:r>
      <w:r w:rsidR="00DE2545" w:rsidRPr="003131ED">
        <w:rPr>
          <w:rFonts w:eastAsia="Arial"/>
          <w:sz w:val="22"/>
          <w:szCs w:val="22"/>
        </w:rPr>
        <w:t xml:space="preserve">C and media was changed every 3-5 days. </w:t>
      </w:r>
      <w:r w:rsidR="00EF3094" w:rsidRPr="003131ED">
        <w:rPr>
          <w:rFonts w:eastAsia="Arial"/>
          <w:sz w:val="22"/>
          <w:szCs w:val="22"/>
        </w:rPr>
        <w:t xml:space="preserve">Cells were passaged </w:t>
      </w:r>
      <w:r w:rsidR="00AD1490" w:rsidRPr="003131ED">
        <w:rPr>
          <w:rFonts w:eastAsia="Arial"/>
          <w:sz w:val="22"/>
          <w:szCs w:val="22"/>
        </w:rPr>
        <w:t xml:space="preserve">for a maximum of ten passages. </w:t>
      </w:r>
    </w:p>
    <w:p w14:paraId="3A8EFC8E" w14:textId="77777777" w:rsidR="00F16905" w:rsidRPr="003131ED" w:rsidRDefault="00F16905" w:rsidP="00D0468C">
      <w:pPr>
        <w:spacing w:line="360" w:lineRule="auto"/>
        <w:jc w:val="both"/>
        <w:rPr>
          <w:rFonts w:eastAsia="Arial"/>
          <w:color w:val="000000"/>
          <w:sz w:val="22"/>
          <w:szCs w:val="22"/>
        </w:rPr>
      </w:pPr>
    </w:p>
    <w:p w14:paraId="0C279332" w14:textId="4106BD0A" w:rsidR="00DE2545" w:rsidRPr="003131ED" w:rsidRDefault="00DE2545" w:rsidP="00D0468C">
      <w:pPr>
        <w:spacing w:line="360" w:lineRule="auto"/>
        <w:jc w:val="both"/>
        <w:rPr>
          <w:rFonts w:eastAsia="Arial"/>
          <w:b/>
          <w:sz w:val="22"/>
          <w:szCs w:val="22"/>
        </w:rPr>
      </w:pPr>
      <w:r w:rsidRPr="003131ED">
        <w:rPr>
          <w:rFonts w:eastAsia="Arial"/>
          <w:b/>
          <w:sz w:val="22"/>
          <w:szCs w:val="22"/>
        </w:rPr>
        <w:t>Calcein assay</w:t>
      </w:r>
    </w:p>
    <w:p w14:paraId="0434BCF8" w14:textId="640F778A" w:rsidR="00492553" w:rsidRPr="003131ED" w:rsidRDefault="00DE2545" w:rsidP="00D0468C">
      <w:pPr>
        <w:spacing w:line="360" w:lineRule="auto"/>
        <w:jc w:val="both"/>
        <w:rPr>
          <w:sz w:val="22"/>
          <w:szCs w:val="22"/>
        </w:rPr>
      </w:pPr>
      <w:r w:rsidRPr="003131ED">
        <w:rPr>
          <w:sz w:val="22"/>
          <w:szCs w:val="22"/>
        </w:rPr>
        <w:t>Calcein-AM (Sigma</w:t>
      </w:r>
      <w:r w:rsidR="00B367D2" w:rsidRPr="003131ED">
        <w:rPr>
          <w:sz w:val="22"/>
          <w:szCs w:val="22"/>
        </w:rPr>
        <w:t>; Cat no: 17783</w:t>
      </w:r>
      <w:r w:rsidRPr="003131ED">
        <w:rPr>
          <w:sz w:val="22"/>
          <w:szCs w:val="22"/>
        </w:rPr>
        <w:t xml:space="preserve">) was used to measure the labile iron pool in SH-SY5Y cells. Cells were seeded in 6 well plates and treated with </w:t>
      </w:r>
      <w:r w:rsidR="00F917EE" w:rsidRPr="003131ED">
        <w:rPr>
          <w:sz w:val="22"/>
          <w:szCs w:val="22"/>
        </w:rPr>
        <w:t xml:space="preserve">0.15uM </w:t>
      </w:r>
      <w:r w:rsidRPr="003131ED">
        <w:rPr>
          <w:sz w:val="22"/>
          <w:szCs w:val="22"/>
        </w:rPr>
        <w:t>Ca-AM</w:t>
      </w:r>
      <w:r w:rsidR="00F917EE" w:rsidRPr="003131ED">
        <w:rPr>
          <w:sz w:val="22"/>
          <w:szCs w:val="22"/>
        </w:rPr>
        <w:t xml:space="preserve"> </w:t>
      </w:r>
      <w:r w:rsidRPr="003131ED">
        <w:rPr>
          <w:sz w:val="22"/>
          <w:szCs w:val="22"/>
        </w:rPr>
        <w:t>in assay buffer</w:t>
      </w:r>
      <w:r w:rsidR="00F917EE" w:rsidRPr="003131ED">
        <w:rPr>
          <w:sz w:val="22"/>
          <w:szCs w:val="22"/>
        </w:rPr>
        <w:t xml:space="preserve"> (</w:t>
      </w:r>
      <w:r w:rsidRPr="003131ED">
        <w:rPr>
          <w:sz w:val="22"/>
          <w:szCs w:val="22"/>
        </w:rPr>
        <w:t>PBS, 1mg/mL bovine serum albumin, 20mM HEPES, pH 7.3</w:t>
      </w:r>
      <w:r w:rsidR="00F917EE" w:rsidRPr="003131ED">
        <w:rPr>
          <w:sz w:val="22"/>
          <w:szCs w:val="22"/>
        </w:rPr>
        <w:t xml:space="preserve">) </w:t>
      </w:r>
      <w:r w:rsidRPr="003131ED">
        <w:rPr>
          <w:sz w:val="22"/>
          <w:szCs w:val="22"/>
        </w:rPr>
        <w:t>for 10 min in 37</w:t>
      </w:r>
      <w:r w:rsidRPr="003131ED">
        <w:rPr>
          <w:sz w:val="22"/>
          <w:szCs w:val="22"/>
          <w:vertAlign w:val="superscript"/>
        </w:rPr>
        <w:t>o</w:t>
      </w:r>
      <w:r w:rsidRPr="003131ED">
        <w:rPr>
          <w:sz w:val="22"/>
          <w:szCs w:val="22"/>
        </w:rPr>
        <w:t>C. Cells were trypsinized, washed, and resuspended with 1mL of assay buffer. 100uL of cell suspension was added per well to a 96 well plate and fluorescence was measured (</w:t>
      </w:r>
      <w:proofErr w:type="spellStart"/>
      <w:r w:rsidRPr="003131ED">
        <w:rPr>
          <w:sz w:val="22"/>
          <w:szCs w:val="22"/>
        </w:rPr>
        <w:t>SpectraMax</w:t>
      </w:r>
      <w:proofErr w:type="spellEnd"/>
      <w:r w:rsidRPr="003131ED">
        <w:rPr>
          <w:sz w:val="22"/>
          <w:szCs w:val="22"/>
        </w:rPr>
        <w:t xml:space="preserve"> Gemini EM; excitation 488nm, emission 518 nm). Remaining cell suspension was spun down at 8000 </w:t>
      </w:r>
      <w:proofErr w:type="spellStart"/>
      <w:r w:rsidRPr="003131ED">
        <w:rPr>
          <w:sz w:val="22"/>
          <w:szCs w:val="22"/>
        </w:rPr>
        <w:t>rcf</w:t>
      </w:r>
      <w:proofErr w:type="spellEnd"/>
      <w:r w:rsidRPr="003131ED">
        <w:rPr>
          <w:sz w:val="22"/>
          <w:szCs w:val="22"/>
        </w:rPr>
        <w:t xml:space="preserve"> for 3 min and cell pellet was lysed with RIPA lysis buffer (150mM NaCl, 1.0% NP-40, 0.5% sodium deoxycholate, 0.1% SDS, 50mM Tris, pH 7.4) plus Roche Complete Protease Inhibitor tablet</w:t>
      </w:r>
      <w:r w:rsidR="00896A1C" w:rsidRPr="003131ED">
        <w:rPr>
          <w:sz w:val="22"/>
          <w:szCs w:val="22"/>
        </w:rPr>
        <w:t xml:space="preserve"> (Cat no: 11697498001)</w:t>
      </w:r>
      <w:r w:rsidRPr="003131ED">
        <w:rPr>
          <w:sz w:val="22"/>
          <w:szCs w:val="22"/>
        </w:rPr>
        <w:t>. Total protein concentrations of the lysates were measured using the Qubit Protein Assay Kit (Invitrogen</w:t>
      </w:r>
      <w:r w:rsidR="00896A1C" w:rsidRPr="003131ED">
        <w:rPr>
          <w:sz w:val="22"/>
          <w:szCs w:val="22"/>
        </w:rPr>
        <w:t>; Cat no: Q33212</w:t>
      </w:r>
      <w:r w:rsidRPr="003131ED">
        <w:rPr>
          <w:sz w:val="22"/>
          <w:szCs w:val="22"/>
        </w:rPr>
        <w:t>).</w:t>
      </w:r>
    </w:p>
    <w:p w14:paraId="4FCA2DB6" w14:textId="77777777" w:rsidR="003C3AC3" w:rsidRPr="003131ED" w:rsidRDefault="003C3AC3" w:rsidP="00D0468C">
      <w:pPr>
        <w:spacing w:line="360" w:lineRule="auto"/>
        <w:jc w:val="both"/>
        <w:rPr>
          <w:sz w:val="22"/>
          <w:szCs w:val="22"/>
        </w:rPr>
      </w:pPr>
    </w:p>
    <w:p w14:paraId="0BD96F2D" w14:textId="5987F4E0" w:rsidR="00DE2545" w:rsidRPr="003131ED" w:rsidRDefault="00DE2545" w:rsidP="00D0468C">
      <w:pPr>
        <w:spacing w:line="360" w:lineRule="auto"/>
        <w:jc w:val="both"/>
        <w:rPr>
          <w:rFonts w:eastAsia="Arial"/>
          <w:b/>
          <w:sz w:val="22"/>
          <w:szCs w:val="22"/>
        </w:rPr>
      </w:pPr>
      <w:r w:rsidRPr="003131ED">
        <w:rPr>
          <w:rFonts w:eastAsia="Arial"/>
          <w:b/>
          <w:sz w:val="22"/>
          <w:szCs w:val="22"/>
        </w:rPr>
        <w:t>ELISA and Western blots</w:t>
      </w:r>
    </w:p>
    <w:p w14:paraId="7A545CD2" w14:textId="5DE23DF1" w:rsidR="00DE2545" w:rsidRPr="003131ED" w:rsidRDefault="00DE2545" w:rsidP="00D0468C">
      <w:pPr>
        <w:spacing w:line="360" w:lineRule="auto"/>
        <w:jc w:val="both"/>
        <w:rPr>
          <w:rFonts w:eastAsia="Arial"/>
          <w:sz w:val="22"/>
          <w:szCs w:val="22"/>
        </w:rPr>
      </w:pPr>
      <w:r w:rsidRPr="003131ED">
        <w:rPr>
          <w:rFonts w:eastAsia="Arial"/>
          <w:sz w:val="22"/>
          <w:szCs w:val="22"/>
        </w:rPr>
        <w:t>α-Synuclein ELISA was performed using Invitrogen Human α-synuclein ELISA kit (</w:t>
      </w:r>
      <w:r w:rsidR="00445CFE" w:rsidRPr="003131ED">
        <w:rPr>
          <w:rFonts w:eastAsia="Arial"/>
          <w:sz w:val="22"/>
          <w:szCs w:val="22"/>
        </w:rPr>
        <w:t xml:space="preserve">Cat no: </w:t>
      </w:r>
      <w:r w:rsidRPr="003131ED">
        <w:rPr>
          <w:rFonts w:eastAsia="Arial"/>
          <w:sz w:val="22"/>
          <w:szCs w:val="22"/>
        </w:rPr>
        <w:t xml:space="preserve">KHB0061). Cells were lysed in Cell Extraction Buffer (150mM NaCl, 1.0% Triton x-100, 50mM Tris, pH 7.4, 1mM PMSF, Roche Complete Protease Inhibitor tablet) by incubation on ice for 30 min with occasional </w:t>
      </w:r>
      <w:proofErr w:type="spellStart"/>
      <w:r w:rsidRPr="003131ED">
        <w:rPr>
          <w:rFonts w:eastAsia="Arial"/>
          <w:sz w:val="22"/>
          <w:szCs w:val="22"/>
        </w:rPr>
        <w:t>vortexing</w:t>
      </w:r>
      <w:proofErr w:type="spellEnd"/>
      <w:r w:rsidRPr="003131ED">
        <w:rPr>
          <w:rFonts w:eastAsia="Arial"/>
          <w:sz w:val="22"/>
          <w:szCs w:val="22"/>
        </w:rPr>
        <w:t>. Lysates were centrifuged at 13,000xg, 4</w:t>
      </w:r>
      <w:r w:rsidRPr="003131ED">
        <w:rPr>
          <w:rFonts w:eastAsia="Arial"/>
          <w:sz w:val="22"/>
          <w:szCs w:val="22"/>
          <w:vertAlign w:val="superscript"/>
        </w:rPr>
        <w:t>o</w:t>
      </w:r>
      <w:r w:rsidRPr="003131ED">
        <w:rPr>
          <w:rFonts w:eastAsia="Arial"/>
          <w:sz w:val="22"/>
          <w:szCs w:val="22"/>
        </w:rPr>
        <w:t xml:space="preserve">C, for 10 minutes. Total protein concentration was quantified using the Qubit Protein Assay Kit. Protocol from the ELISA kit was followed and 96 well plate was read with </w:t>
      </w:r>
      <w:proofErr w:type="spellStart"/>
      <w:r w:rsidRPr="003131ED">
        <w:rPr>
          <w:rFonts w:eastAsia="Arial"/>
          <w:sz w:val="22"/>
          <w:szCs w:val="22"/>
        </w:rPr>
        <w:t>SpectraMax</w:t>
      </w:r>
      <w:proofErr w:type="spellEnd"/>
      <w:r w:rsidRPr="003131ED">
        <w:rPr>
          <w:rFonts w:eastAsia="Arial"/>
          <w:sz w:val="22"/>
          <w:szCs w:val="22"/>
        </w:rPr>
        <w:t xml:space="preserve"> 340pc. For western blots, cells were washed twice with cold PBS and collected using cell scrapers. RIPA buffer </w:t>
      </w:r>
      <w:r w:rsidR="00374CC1" w:rsidRPr="003131ED">
        <w:rPr>
          <w:rFonts w:eastAsia="Arial"/>
          <w:sz w:val="22"/>
          <w:szCs w:val="22"/>
        </w:rPr>
        <w:t xml:space="preserve">with </w:t>
      </w:r>
      <w:r w:rsidR="0052137E" w:rsidRPr="003131ED">
        <w:rPr>
          <w:rFonts w:eastAsia="Arial"/>
          <w:sz w:val="22"/>
          <w:szCs w:val="22"/>
        </w:rPr>
        <w:t xml:space="preserve">Roche </w:t>
      </w:r>
      <w:r w:rsidR="000F68DB" w:rsidRPr="003131ED">
        <w:rPr>
          <w:rFonts w:eastAsia="Arial"/>
          <w:sz w:val="22"/>
          <w:szCs w:val="22"/>
        </w:rPr>
        <w:t>protease inhibitor</w:t>
      </w:r>
      <w:r w:rsidR="0052137E" w:rsidRPr="003131ED">
        <w:rPr>
          <w:rFonts w:eastAsia="Arial"/>
          <w:sz w:val="22"/>
          <w:szCs w:val="22"/>
        </w:rPr>
        <w:t xml:space="preserve"> </w:t>
      </w:r>
      <w:r w:rsidR="0052137E" w:rsidRPr="003131ED">
        <w:rPr>
          <w:sz w:val="22"/>
          <w:szCs w:val="22"/>
        </w:rPr>
        <w:t xml:space="preserve">(Cat no: 11697498001) </w:t>
      </w:r>
      <w:r w:rsidR="000F68DB" w:rsidRPr="003131ED">
        <w:rPr>
          <w:rFonts w:eastAsia="Arial"/>
          <w:sz w:val="22"/>
          <w:szCs w:val="22"/>
        </w:rPr>
        <w:t>and phosphatase inhibitor (Roche</w:t>
      </w:r>
      <w:r w:rsidR="00082883" w:rsidRPr="003131ED">
        <w:rPr>
          <w:rFonts w:eastAsia="Arial"/>
          <w:sz w:val="22"/>
          <w:szCs w:val="22"/>
        </w:rPr>
        <w:t>; Cat no: 4906845001</w:t>
      </w:r>
      <w:r w:rsidR="000F68DB" w:rsidRPr="003131ED">
        <w:rPr>
          <w:rFonts w:eastAsia="Arial"/>
          <w:sz w:val="22"/>
          <w:szCs w:val="22"/>
        </w:rPr>
        <w:t xml:space="preserve">) </w:t>
      </w:r>
      <w:r w:rsidRPr="003131ED">
        <w:rPr>
          <w:rFonts w:eastAsia="Arial"/>
          <w:sz w:val="22"/>
          <w:szCs w:val="22"/>
        </w:rPr>
        <w:t xml:space="preserve">was used for lysis. Samples were incubated on ice for 30 min, sonicated, and centrifuged at 16,000 </w:t>
      </w:r>
      <w:proofErr w:type="spellStart"/>
      <w:r w:rsidRPr="003131ED">
        <w:rPr>
          <w:rFonts w:eastAsia="Arial"/>
          <w:sz w:val="22"/>
          <w:szCs w:val="22"/>
        </w:rPr>
        <w:t>xg</w:t>
      </w:r>
      <w:proofErr w:type="spellEnd"/>
      <w:r w:rsidRPr="003131ED">
        <w:rPr>
          <w:rFonts w:eastAsia="Arial"/>
          <w:sz w:val="22"/>
          <w:szCs w:val="22"/>
        </w:rPr>
        <w:t xml:space="preserve"> for 20 min. Total protein concentrations of the lysates were measured using the Qubit Protein Assay Kit. Loading dye and reducing agent from SDS-Sample Prep Kit (</w:t>
      </w:r>
      <w:proofErr w:type="spellStart"/>
      <w:r w:rsidRPr="003131ED">
        <w:rPr>
          <w:rFonts w:eastAsia="Arial"/>
          <w:sz w:val="22"/>
          <w:szCs w:val="22"/>
        </w:rPr>
        <w:t>Thermo</w:t>
      </w:r>
      <w:proofErr w:type="spellEnd"/>
      <w:r w:rsidR="00082883" w:rsidRPr="003131ED">
        <w:rPr>
          <w:rFonts w:eastAsia="Arial"/>
          <w:sz w:val="22"/>
          <w:szCs w:val="22"/>
        </w:rPr>
        <w:t>; Cat no: 8988</w:t>
      </w:r>
      <w:r w:rsidRPr="003131ED">
        <w:rPr>
          <w:rFonts w:eastAsia="Arial"/>
          <w:sz w:val="22"/>
          <w:szCs w:val="22"/>
        </w:rPr>
        <w:t>) were added and the lysates were boiled at 70</w:t>
      </w:r>
      <w:r w:rsidRPr="003131ED">
        <w:rPr>
          <w:rFonts w:eastAsia="Arial"/>
          <w:sz w:val="22"/>
          <w:szCs w:val="22"/>
          <w:vertAlign w:val="superscript"/>
        </w:rPr>
        <w:t>o</w:t>
      </w:r>
      <w:r w:rsidRPr="003131ED">
        <w:rPr>
          <w:rFonts w:eastAsia="Arial"/>
          <w:sz w:val="22"/>
          <w:szCs w:val="22"/>
        </w:rPr>
        <w:t xml:space="preserve">C for 10 min. </w:t>
      </w:r>
      <w:r w:rsidR="00D825A4" w:rsidRPr="003131ED">
        <w:rPr>
          <w:rFonts w:eastAsia="Arial"/>
          <w:sz w:val="22"/>
          <w:szCs w:val="22"/>
        </w:rPr>
        <w:t xml:space="preserve">For PFF treated cell lysates, reducing agent was omitted in sample preparation. </w:t>
      </w:r>
      <w:r w:rsidRPr="003131ED">
        <w:rPr>
          <w:rFonts w:eastAsia="Arial"/>
          <w:sz w:val="22"/>
          <w:szCs w:val="22"/>
        </w:rPr>
        <w:t>Samples were separated on 4-12% Bis-Tris gel (Life Technologies</w:t>
      </w:r>
      <w:r w:rsidR="00FC7296" w:rsidRPr="003131ED">
        <w:rPr>
          <w:rFonts w:eastAsia="Arial"/>
          <w:sz w:val="22"/>
          <w:szCs w:val="22"/>
        </w:rPr>
        <w:t>; Cat no: NP0321BOX</w:t>
      </w:r>
      <w:r w:rsidRPr="003131ED">
        <w:rPr>
          <w:rFonts w:eastAsia="Arial"/>
          <w:sz w:val="22"/>
          <w:szCs w:val="22"/>
        </w:rPr>
        <w:t xml:space="preserve">) in </w:t>
      </w:r>
      <w:proofErr w:type="spellStart"/>
      <w:r w:rsidRPr="003131ED">
        <w:rPr>
          <w:rFonts w:eastAsia="Arial"/>
          <w:sz w:val="22"/>
          <w:szCs w:val="22"/>
        </w:rPr>
        <w:t>NuPAGE</w:t>
      </w:r>
      <w:proofErr w:type="spellEnd"/>
      <w:r w:rsidRPr="003131ED">
        <w:rPr>
          <w:rFonts w:eastAsia="Arial"/>
          <w:sz w:val="22"/>
          <w:szCs w:val="22"/>
        </w:rPr>
        <w:t xml:space="preserve"> MES SDS Running Buffer (Invitrogen</w:t>
      </w:r>
      <w:r w:rsidR="00FC7296" w:rsidRPr="003131ED">
        <w:rPr>
          <w:rFonts w:eastAsia="Arial"/>
          <w:sz w:val="22"/>
          <w:szCs w:val="22"/>
        </w:rPr>
        <w:t>; Cat no: NP0002</w:t>
      </w:r>
      <w:r w:rsidRPr="003131ED">
        <w:rPr>
          <w:rFonts w:eastAsia="Arial"/>
          <w:sz w:val="22"/>
          <w:szCs w:val="22"/>
        </w:rPr>
        <w:t>) and transferred to PVDF membrane using the iBlot2 transfer system (Invitrogen</w:t>
      </w:r>
      <w:r w:rsidR="00FC7296" w:rsidRPr="003131ED">
        <w:rPr>
          <w:rFonts w:eastAsia="Arial"/>
          <w:sz w:val="22"/>
          <w:szCs w:val="22"/>
        </w:rPr>
        <w:t>; Cat no: IB24001</w:t>
      </w:r>
      <w:r w:rsidRPr="003131ED">
        <w:rPr>
          <w:rFonts w:eastAsia="Arial"/>
          <w:sz w:val="22"/>
          <w:szCs w:val="22"/>
        </w:rPr>
        <w:t xml:space="preserve">) at P3 setting. </w:t>
      </w:r>
      <w:proofErr w:type="spellStart"/>
      <w:r w:rsidRPr="003131ED">
        <w:rPr>
          <w:rFonts w:eastAsia="Arial"/>
          <w:sz w:val="22"/>
          <w:szCs w:val="22"/>
        </w:rPr>
        <w:t>PageRuler</w:t>
      </w:r>
      <w:proofErr w:type="spellEnd"/>
      <w:r w:rsidRPr="003131ED">
        <w:rPr>
          <w:rFonts w:eastAsia="Arial"/>
          <w:sz w:val="22"/>
          <w:szCs w:val="22"/>
        </w:rPr>
        <w:t xml:space="preserve"> Plus </w:t>
      </w:r>
      <w:proofErr w:type="spellStart"/>
      <w:r w:rsidRPr="003131ED">
        <w:rPr>
          <w:rFonts w:eastAsia="Arial"/>
          <w:sz w:val="22"/>
          <w:szCs w:val="22"/>
        </w:rPr>
        <w:t>Prestained</w:t>
      </w:r>
      <w:proofErr w:type="spellEnd"/>
      <w:r w:rsidRPr="003131ED">
        <w:rPr>
          <w:rFonts w:eastAsia="Arial"/>
          <w:sz w:val="22"/>
          <w:szCs w:val="22"/>
        </w:rPr>
        <w:t xml:space="preserve"> Protein Ladder (</w:t>
      </w:r>
      <w:proofErr w:type="spellStart"/>
      <w:r w:rsidRPr="003131ED">
        <w:rPr>
          <w:rFonts w:eastAsia="Arial"/>
          <w:sz w:val="22"/>
          <w:szCs w:val="22"/>
        </w:rPr>
        <w:t>ThermoFisher</w:t>
      </w:r>
      <w:proofErr w:type="spellEnd"/>
      <w:r w:rsidR="007B25CB" w:rsidRPr="003131ED">
        <w:rPr>
          <w:rFonts w:eastAsia="Arial"/>
          <w:sz w:val="22"/>
          <w:szCs w:val="22"/>
        </w:rPr>
        <w:t xml:space="preserve">; </w:t>
      </w:r>
      <w:r w:rsidR="00EB4892" w:rsidRPr="003131ED">
        <w:rPr>
          <w:rFonts w:eastAsia="Arial"/>
          <w:sz w:val="22"/>
          <w:szCs w:val="22"/>
        </w:rPr>
        <w:t>Cat no: 26620</w:t>
      </w:r>
      <w:r w:rsidRPr="003131ED">
        <w:rPr>
          <w:rFonts w:eastAsia="Arial"/>
          <w:sz w:val="22"/>
          <w:szCs w:val="22"/>
        </w:rPr>
        <w:t>) was loaded along with the samples. For α-synuclein blots, membrane was then incubated in 0.4% paraformaldehyde for 30 min to increase the</w:t>
      </w:r>
      <w:r w:rsidR="008E16DD" w:rsidRPr="003131ED">
        <w:rPr>
          <w:rFonts w:eastAsia="Arial"/>
          <w:sz w:val="22"/>
          <w:szCs w:val="22"/>
        </w:rPr>
        <w:t xml:space="preserve"> signal as previously published </w:t>
      </w:r>
      <w:r w:rsidR="008E16DD" w:rsidRPr="003131ED">
        <w:rPr>
          <w:rFonts w:eastAsia="Arial"/>
          <w:sz w:val="22"/>
          <w:szCs w:val="22"/>
        </w:rPr>
        <w:fldChar w:fldCharType="begin" w:fldLock="1"/>
      </w:r>
      <w:r w:rsidR="00D86B9A" w:rsidRPr="003131ED">
        <w:rPr>
          <w:rFonts w:eastAsia="Arial"/>
          <w:sz w:val="22"/>
          <w:szCs w:val="22"/>
        </w:rPr>
        <w:instrText>ADDIN CSL_CITATION {"citationItems":[{"id":"ITEM-1","itemData":{"DOI":"10.1371/journal.pone.0023939","ISSN":"19326203","PMID":"21886844","abstract":"α-Synuclein is a key molecule in understanding the pathogenesis of neurodegenerative α-synucleinopathies such as Parkinson's disease. Despite extensive research, however, its precise function remains unclear partly because of a difficulty in immunoblotting detection of endogenous α-synuclein. This difficulty has largely restricted the progress for α-synucleinopathy research. Here, we report that α-synuclein monomers tend to easily detach from blotted membranes, resulting in no or very poor detection. To prevent this detachment, a mild fixation of blotted membranes with paraformaldehyde was applied to the immunoblotting method. Amazingly, this fixation led to clear and strong detection of endogenous α-synuclein, which has been undetectable by a conventional immunoblotting method. Specifically, we were able to detect endogenous α-synuclein in various human cell lines, including SH-SY5Y, HEK293, HL60, HeLa, K562, A375, and Daoy, and a mouse cell line B16 as well as in several mouse tissues such as the spleen and kidney. Moreover, it should be noted that we could clearly detect endogenous α-synuclein phosphorylated at Ser-129 in several human cell lines. Thus, in some tissues and cultured cells, endogenous α-synuclein becomes easily detectable by simply fixing the blotted membranes. This improved immunoblotting method will allow us to detect previously undetectable endogenous α-synuclein, thereby facilitating α-synuclein research.","author":[{"dropping-particle":"","family":"Lee","given":"Byung Rho","non-dropping-particle":"","parse-names":false,"suffix":""},{"dropping-particle":"","family":"Kamitani","given":"Tetsu","non-dropping-particle":"","parse-names":false,"suffix":""}],"container-title":"PLoS ONE","id":"ITEM-1","issue":"8","issued":{"date-parts":[["2011"]]},"page":"e23939","publisher":"Public Library of Science","title":"Improved immunodetection of endogenous α-synuclein","type":"article-journal","volume":"6"},"uris":["http://www.mendeley.com/documents/?uuid=3f96a4b2-06dc-3c6e-a8a0-d2ac0ff59db1"]}],"mendeley":{"formattedCitation":"(Lee and Kamitani 2011)","plainTextFormattedCitation":"(Lee and Kamitani 2011)","previouslyFormattedCitation":"(Lee and Kamitani 2011)"},"properties":{"noteIndex":0},"schema":"https://github.com/citation-style-language/schema/raw/master/csl-citation.json"}</w:instrText>
      </w:r>
      <w:r w:rsidR="008E16DD" w:rsidRPr="003131ED">
        <w:rPr>
          <w:rFonts w:eastAsia="Arial"/>
          <w:sz w:val="22"/>
          <w:szCs w:val="22"/>
        </w:rPr>
        <w:fldChar w:fldCharType="separate"/>
      </w:r>
      <w:r w:rsidR="00D86B9A" w:rsidRPr="003131ED">
        <w:rPr>
          <w:rFonts w:eastAsia="Arial"/>
          <w:noProof/>
          <w:sz w:val="22"/>
          <w:szCs w:val="22"/>
        </w:rPr>
        <w:t>(Lee and Kamitani 2011)</w:t>
      </w:r>
      <w:r w:rsidR="008E16DD" w:rsidRPr="003131ED">
        <w:rPr>
          <w:rFonts w:eastAsia="Arial"/>
          <w:sz w:val="22"/>
          <w:szCs w:val="22"/>
        </w:rPr>
        <w:fldChar w:fldCharType="end"/>
      </w:r>
      <w:r w:rsidR="008E16DD" w:rsidRPr="003131ED">
        <w:rPr>
          <w:rFonts w:eastAsia="Arial"/>
          <w:sz w:val="22"/>
          <w:szCs w:val="22"/>
        </w:rPr>
        <w:t>.</w:t>
      </w:r>
      <w:r w:rsidRPr="003131ED">
        <w:rPr>
          <w:rFonts w:eastAsia="Arial"/>
          <w:sz w:val="22"/>
          <w:szCs w:val="22"/>
        </w:rPr>
        <w:t xml:space="preserve"> Membranes were block in 5% milk </w:t>
      </w:r>
      <w:r w:rsidR="000934D9" w:rsidRPr="003131ED">
        <w:rPr>
          <w:rFonts w:eastAsia="Arial"/>
          <w:sz w:val="22"/>
          <w:szCs w:val="22"/>
        </w:rPr>
        <w:t xml:space="preserve">or 5% BSA </w:t>
      </w:r>
      <w:r w:rsidRPr="003131ED">
        <w:rPr>
          <w:rFonts w:eastAsia="Arial"/>
          <w:sz w:val="22"/>
          <w:szCs w:val="22"/>
        </w:rPr>
        <w:t xml:space="preserve">in TBST (25mM Tris, 150mM NaCl, 0.1% Tween 20, pH 7.5) for 1 hour. Primary antibody </w:t>
      </w:r>
      <w:r w:rsidR="00AD5C82" w:rsidRPr="003131ED">
        <w:rPr>
          <w:rFonts w:eastAsia="Arial"/>
          <w:sz w:val="22"/>
          <w:szCs w:val="22"/>
        </w:rPr>
        <w:t xml:space="preserve">(Novus </w:t>
      </w:r>
      <w:r w:rsidR="00AD5C82" w:rsidRPr="003131ED">
        <w:rPr>
          <w:rFonts w:eastAsia="Arial"/>
          <w:color w:val="000000"/>
          <w:sz w:val="22"/>
          <w:szCs w:val="22"/>
        </w:rPr>
        <w:sym w:font="Symbol" w:char="F061"/>
      </w:r>
      <w:r w:rsidR="00AD5C82" w:rsidRPr="003131ED">
        <w:rPr>
          <w:rFonts w:eastAsia="Arial"/>
          <w:color w:val="000000"/>
          <w:sz w:val="22"/>
          <w:szCs w:val="22"/>
        </w:rPr>
        <w:t>-Synuclein 2A7</w:t>
      </w:r>
      <w:r w:rsidR="00AD5C82" w:rsidRPr="003131ED">
        <w:rPr>
          <w:rFonts w:eastAsia="Arial"/>
          <w:bCs/>
          <w:color w:val="000000"/>
          <w:sz w:val="22"/>
          <w:szCs w:val="22"/>
        </w:rPr>
        <w:t xml:space="preserve">, BD Biosciences </w:t>
      </w:r>
      <w:r w:rsidR="00AD5C82" w:rsidRPr="003131ED">
        <w:rPr>
          <w:rFonts w:eastAsia="Arial"/>
          <w:bCs/>
          <w:color w:val="000000"/>
          <w:sz w:val="22"/>
          <w:szCs w:val="22"/>
        </w:rPr>
        <w:sym w:font="Symbol" w:char="F061"/>
      </w:r>
      <w:r w:rsidR="00AD5C82" w:rsidRPr="003131ED">
        <w:rPr>
          <w:rFonts w:eastAsia="Arial"/>
          <w:bCs/>
          <w:color w:val="000000"/>
          <w:sz w:val="22"/>
          <w:szCs w:val="22"/>
        </w:rPr>
        <w:t xml:space="preserve">-Synuclein Syn1, Cell Signaling H-ferritin, Cell Signaling LC3B D11, </w:t>
      </w:r>
      <w:proofErr w:type="spellStart"/>
      <w:r w:rsidR="00AD5C82" w:rsidRPr="003131ED">
        <w:rPr>
          <w:rFonts w:eastAsia="Arial"/>
          <w:bCs/>
          <w:color w:val="000000"/>
          <w:sz w:val="22"/>
          <w:szCs w:val="22"/>
        </w:rPr>
        <w:t>ProteinTech</w:t>
      </w:r>
      <w:proofErr w:type="spellEnd"/>
      <w:r w:rsidR="00AD5C82" w:rsidRPr="003131ED">
        <w:rPr>
          <w:rFonts w:eastAsia="Arial"/>
          <w:bCs/>
          <w:color w:val="000000"/>
          <w:sz w:val="22"/>
          <w:szCs w:val="22"/>
        </w:rPr>
        <w:t xml:space="preserve"> REDD1, </w:t>
      </w:r>
      <w:proofErr w:type="spellStart"/>
      <w:r w:rsidR="00AD5C82" w:rsidRPr="003131ED">
        <w:rPr>
          <w:rFonts w:eastAsia="Arial"/>
          <w:bCs/>
          <w:color w:val="000000"/>
          <w:sz w:val="22"/>
          <w:szCs w:val="22"/>
        </w:rPr>
        <w:t>ProteinTech</w:t>
      </w:r>
      <w:proofErr w:type="spellEnd"/>
      <w:r w:rsidR="00AD5C82" w:rsidRPr="003131ED">
        <w:rPr>
          <w:rFonts w:eastAsia="Arial"/>
          <w:bCs/>
          <w:color w:val="000000"/>
          <w:sz w:val="22"/>
          <w:szCs w:val="22"/>
        </w:rPr>
        <w:t xml:space="preserve"> </w:t>
      </w:r>
      <w:r w:rsidR="00AD5C82" w:rsidRPr="003131ED">
        <w:rPr>
          <w:rFonts w:eastAsia="Arial"/>
          <w:bCs/>
          <w:color w:val="000000"/>
          <w:sz w:val="22"/>
          <w:szCs w:val="22"/>
        </w:rPr>
        <w:sym w:font="Symbol" w:char="F062"/>
      </w:r>
      <w:r w:rsidR="00AD5C82" w:rsidRPr="003131ED">
        <w:rPr>
          <w:rFonts w:eastAsia="Arial"/>
          <w:bCs/>
          <w:color w:val="000000"/>
          <w:sz w:val="22"/>
          <w:szCs w:val="22"/>
        </w:rPr>
        <w:t xml:space="preserve">-actin) </w:t>
      </w:r>
      <w:r w:rsidRPr="003131ED">
        <w:rPr>
          <w:rFonts w:eastAsia="Arial"/>
          <w:sz w:val="22"/>
          <w:szCs w:val="22"/>
        </w:rPr>
        <w:t>was then added for overnight incubation at 4</w:t>
      </w:r>
      <w:r w:rsidRPr="003131ED">
        <w:rPr>
          <w:rFonts w:eastAsia="Arial"/>
          <w:sz w:val="22"/>
          <w:szCs w:val="22"/>
          <w:vertAlign w:val="superscript"/>
        </w:rPr>
        <w:t>o</w:t>
      </w:r>
      <w:r w:rsidRPr="003131ED">
        <w:rPr>
          <w:rFonts w:eastAsia="Arial"/>
          <w:sz w:val="22"/>
          <w:szCs w:val="22"/>
        </w:rPr>
        <w:t>C, followed by washes with TBST</w:t>
      </w:r>
      <w:r w:rsidR="009A09BA" w:rsidRPr="003131ED">
        <w:rPr>
          <w:rFonts w:eastAsia="Arial"/>
          <w:sz w:val="22"/>
          <w:szCs w:val="22"/>
        </w:rPr>
        <w:t xml:space="preserve">. </w:t>
      </w:r>
      <w:r w:rsidRPr="003131ED">
        <w:rPr>
          <w:rFonts w:eastAsia="Arial"/>
          <w:sz w:val="22"/>
          <w:szCs w:val="22"/>
        </w:rPr>
        <w:lastRenderedPageBreak/>
        <w:t xml:space="preserve">Appropriate secondary antibody </w:t>
      </w:r>
      <w:r w:rsidR="00AD5C82" w:rsidRPr="003131ED">
        <w:rPr>
          <w:rFonts w:eastAsia="Arial"/>
          <w:sz w:val="22"/>
          <w:szCs w:val="22"/>
        </w:rPr>
        <w:t>(</w:t>
      </w:r>
      <w:r w:rsidR="00AD5C82" w:rsidRPr="003131ED">
        <w:rPr>
          <w:rFonts w:eastAsia="Arial"/>
          <w:bCs/>
          <w:color w:val="000000"/>
          <w:sz w:val="22"/>
          <w:szCs w:val="22"/>
        </w:rPr>
        <w:t xml:space="preserve">Goat anti-mouse IgG HRP conjugated secondary, Goat anti-rabbit IgG HRP conjugated secondary) </w:t>
      </w:r>
      <w:r w:rsidRPr="003131ED">
        <w:rPr>
          <w:rFonts w:eastAsia="Arial"/>
          <w:sz w:val="22"/>
          <w:szCs w:val="22"/>
        </w:rPr>
        <w:t>was added for 1.5 hour at room temperature</w:t>
      </w:r>
      <w:r w:rsidR="00A96850" w:rsidRPr="003131ED">
        <w:rPr>
          <w:rFonts w:eastAsia="Arial"/>
          <w:sz w:val="22"/>
          <w:szCs w:val="22"/>
        </w:rPr>
        <w:t xml:space="preserve">. </w:t>
      </w:r>
      <w:r w:rsidR="00AD5C82" w:rsidRPr="003131ED">
        <w:rPr>
          <w:rFonts w:eastAsia="Arial"/>
          <w:sz w:val="22"/>
          <w:szCs w:val="22"/>
        </w:rPr>
        <w:t xml:space="preserve">Detailed list of antibodies can be found in </w:t>
      </w:r>
      <w:r w:rsidR="00AD5C82" w:rsidRPr="003131ED">
        <w:rPr>
          <w:rFonts w:eastAsia="Arial"/>
          <w:b/>
          <w:sz w:val="22"/>
          <w:szCs w:val="22"/>
        </w:rPr>
        <w:t>Table 1</w:t>
      </w:r>
      <w:r w:rsidR="00AD5C82" w:rsidRPr="003131ED">
        <w:rPr>
          <w:rFonts w:eastAsia="Arial"/>
          <w:sz w:val="22"/>
          <w:szCs w:val="22"/>
        </w:rPr>
        <w:t xml:space="preserve">. </w:t>
      </w:r>
      <w:r w:rsidRPr="003131ED">
        <w:rPr>
          <w:rFonts w:eastAsia="Arial"/>
          <w:sz w:val="22"/>
          <w:szCs w:val="22"/>
        </w:rPr>
        <w:t>Pierce ECL western blot substrate (</w:t>
      </w:r>
      <w:proofErr w:type="spellStart"/>
      <w:r w:rsidRPr="003131ED">
        <w:rPr>
          <w:rFonts w:eastAsia="Arial"/>
          <w:sz w:val="22"/>
          <w:szCs w:val="22"/>
        </w:rPr>
        <w:t>Thermo</w:t>
      </w:r>
      <w:proofErr w:type="spellEnd"/>
      <w:r w:rsidR="00EB4892" w:rsidRPr="003131ED">
        <w:rPr>
          <w:rFonts w:eastAsia="Arial"/>
          <w:sz w:val="22"/>
          <w:szCs w:val="22"/>
        </w:rPr>
        <w:t>; Cat no: 32209</w:t>
      </w:r>
      <w:r w:rsidRPr="003131ED">
        <w:rPr>
          <w:rFonts w:eastAsia="Arial"/>
          <w:sz w:val="22"/>
          <w:szCs w:val="22"/>
        </w:rPr>
        <w:t>) was used for detection. Images were acquired with GE Amersham Imager 600. Band densities were quantified using ImageJ version 1.52a.</w:t>
      </w:r>
    </w:p>
    <w:p w14:paraId="166B8843" w14:textId="77777777" w:rsidR="00CA092A" w:rsidRPr="003131ED" w:rsidRDefault="00CA092A" w:rsidP="003C3AC3">
      <w:pPr>
        <w:spacing w:line="360" w:lineRule="auto"/>
        <w:jc w:val="both"/>
        <w:rPr>
          <w:rFonts w:eastAsia="Arial"/>
          <w:color w:val="FF0000"/>
          <w:sz w:val="22"/>
          <w:szCs w:val="22"/>
        </w:rPr>
      </w:pPr>
    </w:p>
    <w:p w14:paraId="078ECDD9" w14:textId="011A6305" w:rsidR="003C3AC3" w:rsidRPr="003131ED" w:rsidRDefault="003C3AC3" w:rsidP="003C3AC3">
      <w:pPr>
        <w:spacing w:line="360" w:lineRule="auto"/>
        <w:jc w:val="both"/>
        <w:rPr>
          <w:rFonts w:eastAsia="Arial"/>
          <w:b/>
          <w:sz w:val="22"/>
          <w:szCs w:val="22"/>
        </w:rPr>
      </w:pPr>
      <w:r w:rsidRPr="003131ED">
        <w:rPr>
          <w:rFonts w:eastAsia="Arial"/>
          <w:b/>
          <w:sz w:val="22"/>
          <w:szCs w:val="22"/>
        </w:rPr>
        <w:t xml:space="preserve">Table 1. </w:t>
      </w:r>
      <w:r w:rsidR="001325E5" w:rsidRPr="003131ED">
        <w:rPr>
          <w:rFonts w:eastAsia="Arial"/>
          <w:b/>
          <w:sz w:val="22"/>
          <w:szCs w:val="22"/>
        </w:rPr>
        <w:t>List of a</w:t>
      </w:r>
      <w:r w:rsidRPr="003131ED">
        <w:rPr>
          <w:rFonts w:eastAsia="Arial"/>
          <w:b/>
          <w:sz w:val="22"/>
          <w:szCs w:val="22"/>
        </w:rPr>
        <w:t xml:space="preserve">ntibodies </w:t>
      </w:r>
    </w:p>
    <w:tbl>
      <w:tblPr>
        <w:tblStyle w:val="TableGrid"/>
        <w:tblW w:w="9345" w:type="dxa"/>
        <w:tblLayout w:type="fixed"/>
        <w:tblLook w:val="04A0" w:firstRow="1" w:lastRow="0" w:firstColumn="1" w:lastColumn="0" w:noHBand="0" w:noVBand="1"/>
      </w:tblPr>
      <w:tblGrid>
        <w:gridCol w:w="2425"/>
        <w:gridCol w:w="948"/>
        <w:gridCol w:w="1376"/>
        <w:gridCol w:w="1726"/>
        <w:gridCol w:w="2870"/>
      </w:tblGrid>
      <w:tr w:rsidR="003C3AC3" w:rsidRPr="003131ED" w14:paraId="0A147FB8" w14:textId="77777777" w:rsidTr="002A1835">
        <w:trPr>
          <w:trHeight w:val="260"/>
        </w:trPr>
        <w:tc>
          <w:tcPr>
            <w:tcW w:w="2425" w:type="dxa"/>
          </w:tcPr>
          <w:p w14:paraId="0C7BB37C" w14:textId="77777777" w:rsidR="003C3AC3" w:rsidRPr="003131ED" w:rsidRDefault="003C3AC3" w:rsidP="002A1835">
            <w:pPr>
              <w:jc w:val="center"/>
              <w:rPr>
                <w:b/>
                <w:sz w:val="22"/>
                <w:szCs w:val="22"/>
              </w:rPr>
            </w:pPr>
            <w:r w:rsidRPr="003131ED">
              <w:rPr>
                <w:b/>
                <w:sz w:val="22"/>
                <w:szCs w:val="22"/>
              </w:rPr>
              <w:t>Name</w:t>
            </w:r>
          </w:p>
        </w:tc>
        <w:tc>
          <w:tcPr>
            <w:tcW w:w="948" w:type="dxa"/>
          </w:tcPr>
          <w:p w14:paraId="00A151A0" w14:textId="77777777" w:rsidR="003C3AC3" w:rsidRPr="003131ED" w:rsidRDefault="003C3AC3" w:rsidP="002A1835">
            <w:pPr>
              <w:jc w:val="center"/>
              <w:rPr>
                <w:b/>
                <w:sz w:val="22"/>
                <w:szCs w:val="22"/>
              </w:rPr>
            </w:pPr>
            <w:r w:rsidRPr="003131ED">
              <w:rPr>
                <w:b/>
                <w:sz w:val="22"/>
                <w:szCs w:val="22"/>
              </w:rPr>
              <w:t>Host</w:t>
            </w:r>
          </w:p>
        </w:tc>
        <w:tc>
          <w:tcPr>
            <w:tcW w:w="1376" w:type="dxa"/>
          </w:tcPr>
          <w:p w14:paraId="47C515BB" w14:textId="77777777" w:rsidR="003C3AC3" w:rsidRPr="003131ED" w:rsidRDefault="003C3AC3" w:rsidP="002A1835">
            <w:pPr>
              <w:jc w:val="center"/>
              <w:rPr>
                <w:b/>
                <w:sz w:val="22"/>
                <w:szCs w:val="22"/>
              </w:rPr>
            </w:pPr>
            <w:r w:rsidRPr="003131ED">
              <w:rPr>
                <w:b/>
                <w:sz w:val="22"/>
                <w:szCs w:val="22"/>
              </w:rPr>
              <w:t>Type</w:t>
            </w:r>
          </w:p>
        </w:tc>
        <w:tc>
          <w:tcPr>
            <w:tcW w:w="1726" w:type="dxa"/>
          </w:tcPr>
          <w:p w14:paraId="6EDF8006" w14:textId="77777777" w:rsidR="003C3AC3" w:rsidRPr="003131ED" w:rsidRDefault="003C3AC3" w:rsidP="002A1835">
            <w:pPr>
              <w:jc w:val="center"/>
              <w:rPr>
                <w:b/>
                <w:sz w:val="22"/>
                <w:szCs w:val="22"/>
              </w:rPr>
            </w:pPr>
            <w:r w:rsidRPr="003131ED">
              <w:rPr>
                <w:b/>
                <w:sz w:val="22"/>
                <w:szCs w:val="22"/>
              </w:rPr>
              <w:t>Dilution</w:t>
            </w:r>
          </w:p>
        </w:tc>
        <w:tc>
          <w:tcPr>
            <w:tcW w:w="2870" w:type="dxa"/>
          </w:tcPr>
          <w:p w14:paraId="0F3F4A5D" w14:textId="77777777" w:rsidR="003C3AC3" w:rsidRPr="003131ED" w:rsidRDefault="003C3AC3" w:rsidP="002A1835">
            <w:pPr>
              <w:jc w:val="center"/>
              <w:rPr>
                <w:b/>
                <w:sz w:val="22"/>
                <w:szCs w:val="22"/>
              </w:rPr>
            </w:pPr>
            <w:r w:rsidRPr="003131ED">
              <w:rPr>
                <w:b/>
                <w:sz w:val="22"/>
                <w:szCs w:val="22"/>
              </w:rPr>
              <w:t>Citation</w:t>
            </w:r>
          </w:p>
        </w:tc>
      </w:tr>
      <w:tr w:rsidR="003C3AC3" w:rsidRPr="003131ED" w14:paraId="7BD68E64" w14:textId="77777777" w:rsidTr="002A1835">
        <w:trPr>
          <w:trHeight w:val="503"/>
        </w:trPr>
        <w:tc>
          <w:tcPr>
            <w:tcW w:w="2425" w:type="dxa"/>
          </w:tcPr>
          <w:p w14:paraId="4F747695" w14:textId="77777777" w:rsidR="003C3AC3" w:rsidRPr="003131ED" w:rsidRDefault="003C3AC3" w:rsidP="002A1835">
            <w:pPr>
              <w:jc w:val="center"/>
              <w:rPr>
                <w:sz w:val="22"/>
                <w:szCs w:val="22"/>
              </w:rPr>
            </w:pPr>
            <w:r w:rsidRPr="003131ED">
              <w:rPr>
                <w:sz w:val="22"/>
                <w:szCs w:val="22"/>
              </w:rPr>
              <w:sym w:font="Symbol" w:char="F061"/>
            </w:r>
            <w:r w:rsidRPr="003131ED">
              <w:rPr>
                <w:sz w:val="22"/>
                <w:szCs w:val="22"/>
              </w:rPr>
              <w:t>-Synuclein [2A7]</w:t>
            </w:r>
          </w:p>
        </w:tc>
        <w:tc>
          <w:tcPr>
            <w:tcW w:w="948" w:type="dxa"/>
          </w:tcPr>
          <w:p w14:paraId="41F60992" w14:textId="77777777" w:rsidR="003C3AC3" w:rsidRPr="003131ED" w:rsidRDefault="003C3AC3" w:rsidP="002A1835">
            <w:pPr>
              <w:jc w:val="center"/>
              <w:rPr>
                <w:sz w:val="22"/>
                <w:szCs w:val="22"/>
              </w:rPr>
            </w:pPr>
            <w:r w:rsidRPr="003131ED">
              <w:rPr>
                <w:sz w:val="22"/>
                <w:szCs w:val="22"/>
              </w:rPr>
              <w:t>Mouse</w:t>
            </w:r>
          </w:p>
        </w:tc>
        <w:tc>
          <w:tcPr>
            <w:tcW w:w="1376" w:type="dxa"/>
          </w:tcPr>
          <w:p w14:paraId="16D9FEE8" w14:textId="77777777" w:rsidR="003C3AC3" w:rsidRPr="003131ED" w:rsidRDefault="003C3AC3" w:rsidP="002A1835">
            <w:pPr>
              <w:jc w:val="center"/>
              <w:rPr>
                <w:sz w:val="22"/>
                <w:szCs w:val="22"/>
              </w:rPr>
            </w:pPr>
            <w:r w:rsidRPr="003131ED">
              <w:rPr>
                <w:sz w:val="22"/>
                <w:szCs w:val="22"/>
              </w:rPr>
              <w:t>Monoclonal</w:t>
            </w:r>
          </w:p>
        </w:tc>
        <w:tc>
          <w:tcPr>
            <w:tcW w:w="1726" w:type="dxa"/>
          </w:tcPr>
          <w:p w14:paraId="4414CE17" w14:textId="77777777" w:rsidR="003C3AC3" w:rsidRPr="003131ED" w:rsidRDefault="003C3AC3" w:rsidP="002A1835">
            <w:pPr>
              <w:jc w:val="center"/>
              <w:rPr>
                <w:sz w:val="22"/>
                <w:szCs w:val="22"/>
              </w:rPr>
            </w:pPr>
            <w:r w:rsidRPr="003131ED">
              <w:rPr>
                <w:sz w:val="22"/>
                <w:szCs w:val="22"/>
              </w:rPr>
              <w:t>WB – 1:1000</w:t>
            </w:r>
          </w:p>
          <w:p w14:paraId="6D3330F4" w14:textId="77777777" w:rsidR="003C3AC3" w:rsidRPr="003131ED" w:rsidRDefault="003C3AC3" w:rsidP="002A1835">
            <w:pPr>
              <w:jc w:val="center"/>
              <w:rPr>
                <w:sz w:val="22"/>
                <w:szCs w:val="22"/>
              </w:rPr>
            </w:pPr>
            <w:r w:rsidRPr="003131ED">
              <w:rPr>
                <w:sz w:val="22"/>
                <w:szCs w:val="22"/>
              </w:rPr>
              <w:t>ICC – 1:1000</w:t>
            </w:r>
          </w:p>
        </w:tc>
        <w:tc>
          <w:tcPr>
            <w:tcW w:w="2870" w:type="dxa"/>
          </w:tcPr>
          <w:p w14:paraId="5FE9F05B" w14:textId="77777777" w:rsidR="003C3AC3" w:rsidRPr="003131ED" w:rsidRDefault="003C3AC3" w:rsidP="002A1835">
            <w:pPr>
              <w:jc w:val="center"/>
              <w:rPr>
                <w:sz w:val="22"/>
                <w:szCs w:val="22"/>
              </w:rPr>
            </w:pPr>
            <w:r w:rsidRPr="003131ED">
              <w:rPr>
                <w:sz w:val="22"/>
                <w:szCs w:val="22"/>
              </w:rPr>
              <w:t>RRID: AB_1555287</w:t>
            </w:r>
          </w:p>
          <w:p w14:paraId="2CB6CCAB" w14:textId="77777777" w:rsidR="003C3AC3" w:rsidRPr="003131ED" w:rsidRDefault="003C3AC3" w:rsidP="002A1835">
            <w:pPr>
              <w:jc w:val="center"/>
              <w:rPr>
                <w:sz w:val="22"/>
                <w:szCs w:val="22"/>
              </w:rPr>
            </w:pPr>
            <w:r w:rsidRPr="003131ED">
              <w:rPr>
                <w:sz w:val="22"/>
                <w:szCs w:val="22"/>
              </w:rPr>
              <w:t>Novus Cat# NBP1-05194</w:t>
            </w:r>
          </w:p>
        </w:tc>
      </w:tr>
      <w:tr w:rsidR="003C3AC3" w:rsidRPr="003131ED" w14:paraId="4DA945A1" w14:textId="77777777" w:rsidTr="002A1835">
        <w:trPr>
          <w:trHeight w:val="764"/>
        </w:trPr>
        <w:tc>
          <w:tcPr>
            <w:tcW w:w="2425" w:type="dxa"/>
          </w:tcPr>
          <w:p w14:paraId="71217D19" w14:textId="77777777" w:rsidR="003C3AC3" w:rsidRPr="003131ED" w:rsidRDefault="003C3AC3" w:rsidP="002A1835">
            <w:pPr>
              <w:jc w:val="center"/>
              <w:rPr>
                <w:sz w:val="22"/>
                <w:szCs w:val="22"/>
              </w:rPr>
            </w:pPr>
            <w:r w:rsidRPr="003131ED">
              <w:rPr>
                <w:sz w:val="22"/>
                <w:szCs w:val="22"/>
              </w:rPr>
              <w:sym w:font="Symbol" w:char="F061"/>
            </w:r>
            <w:r w:rsidRPr="003131ED">
              <w:rPr>
                <w:sz w:val="22"/>
                <w:szCs w:val="22"/>
              </w:rPr>
              <w:t>-Synuclein [Syn1]</w:t>
            </w:r>
          </w:p>
        </w:tc>
        <w:tc>
          <w:tcPr>
            <w:tcW w:w="948" w:type="dxa"/>
          </w:tcPr>
          <w:p w14:paraId="2CC92224" w14:textId="77777777" w:rsidR="003C3AC3" w:rsidRPr="003131ED" w:rsidRDefault="003C3AC3" w:rsidP="002A1835">
            <w:pPr>
              <w:jc w:val="center"/>
              <w:rPr>
                <w:sz w:val="22"/>
                <w:szCs w:val="22"/>
              </w:rPr>
            </w:pPr>
            <w:r w:rsidRPr="003131ED">
              <w:rPr>
                <w:sz w:val="22"/>
                <w:szCs w:val="22"/>
              </w:rPr>
              <w:t>Mouse</w:t>
            </w:r>
          </w:p>
        </w:tc>
        <w:tc>
          <w:tcPr>
            <w:tcW w:w="1376" w:type="dxa"/>
          </w:tcPr>
          <w:p w14:paraId="3B2F94DF" w14:textId="77777777" w:rsidR="003C3AC3" w:rsidRPr="003131ED" w:rsidRDefault="003C3AC3" w:rsidP="002A1835">
            <w:pPr>
              <w:jc w:val="center"/>
              <w:rPr>
                <w:sz w:val="22"/>
                <w:szCs w:val="22"/>
              </w:rPr>
            </w:pPr>
            <w:r w:rsidRPr="003131ED">
              <w:rPr>
                <w:sz w:val="22"/>
                <w:szCs w:val="22"/>
              </w:rPr>
              <w:t>Monoclonal</w:t>
            </w:r>
          </w:p>
        </w:tc>
        <w:tc>
          <w:tcPr>
            <w:tcW w:w="1726" w:type="dxa"/>
          </w:tcPr>
          <w:p w14:paraId="2B6F0807" w14:textId="77777777" w:rsidR="003C3AC3" w:rsidRPr="003131ED" w:rsidRDefault="003C3AC3" w:rsidP="002A1835">
            <w:pPr>
              <w:jc w:val="center"/>
              <w:rPr>
                <w:sz w:val="22"/>
                <w:szCs w:val="22"/>
              </w:rPr>
            </w:pPr>
            <w:r w:rsidRPr="003131ED">
              <w:rPr>
                <w:sz w:val="22"/>
                <w:szCs w:val="22"/>
              </w:rPr>
              <w:t>WB – 1:500</w:t>
            </w:r>
          </w:p>
        </w:tc>
        <w:tc>
          <w:tcPr>
            <w:tcW w:w="2870" w:type="dxa"/>
          </w:tcPr>
          <w:p w14:paraId="5D93C64A" w14:textId="77777777" w:rsidR="003C3AC3" w:rsidRPr="003131ED" w:rsidRDefault="003C3AC3" w:rsidP="002A1835">
            <w:pPr>
              <w:jc w:val="center"/>
              <w:rPr>
                <w:sz w:val="22"/>
                <w:szCs w:val="22"/>
              </w:rPr>
            </w:pPr>
            <w:r w:rsidRPr="003131ED">
              <w:rPr>
                <w:sz w:val="22"/>
                <w:szCs w:val="22"/>
              </w:rPr>
              <w:t>RRID: AB_398107</w:t>
            </w:r>
          </w:p>
          <w:p w14:paraId="092AE53F" w14:textId="77777777" w:rsidR="003C3AC3" w:rsidRPr="003131ED" w:rsidRDefault="003C3AC3" w:rsidP="002A1835">
            <w:pPr>
              <w:jc w:val="center"/>
              <w:rPr>
                <w:sz w:val="22"/>
                <w:szCs w:val="22"/>
              </w:rPr>
            </w:pPr>
            <w:r w:rsidRPr="003131ED">
              <w:rPr>
                <w:sz w:val="22"/>
                <w:szCs w:val="22"/>
              </w:rPr>
              <w:t>BD Biosciences Cat# 610786</w:t>
            </w:r>
          </w:p>
        </w:tc>
      </w:tr>
      <w:tr w:rsidR="003C3AC3" w:rsidRPr="003131ED" w14:paraId="584F9E18" w14:textId="77777777" w:rsidTr="002A1835">
        <w:trPr>
          <w:trHeight w:val="584"/>
        </w:trPr>
        <w:tc>
          <w:tcPr>
            <w:tcW w:w="2425" w:type="dxa"/>
          </w:tcPr>
          <w:p w14:paraId="71E0FD9D" w14:textId="77777777" w:rsidR="003C3AC3" w:rsidRPr="003131ED" w:rsidRDefault="003C3AC3" w:rsidP="002A1835">
            <w:pPr>
              <w:jc w:val="center"/>
              <w:rPr>
                <w:sz w:val="22"/>
                <w:szCs w:val="22"/>
              </w:rPr>
            </w:pPr>
            <w:r w:rsidRPr="003131ED">
              <w:rPr>
                <w:sz w:val="22"/>
                <w:szCs w:val="22"/>
              </w:rPr>
              <w:sym w:font="Symbol" w:char="F061"/>
            </w:r>
            <w:r w:rsidRPr="003131ED">
              <w:rPr>
                <w:sz w:val="22"/>
                <w:szCs w:val="22"/>
              </w:rPr>
              <w:t>-Synuclein [EPR20535]</w:t>
            </w:r>
          </w:p>
        </w:tc>
        <w:tc>
          <w:tcPr>
            <w:tcW w:w="948" w:type="dxa"/>
          </w:tcPr>
          <w:p w14:paraId="5F6E5EDA" w14:textId="77777777" w:rsidR="003C3AC3" w:rsidRPr="003131ED" w:rsidRDefault="003C3AC3" w:rsidP="002A1835">
            <w:pPr>
              <w:jc w:val="center"/>
              <w:rPr>
                <w:sz w:val="22"/>
                <w:szCs w:val="22"/>
              </w:rPr>
            </w:pPr>
            <w:r w:rsidRPr="003131ED">
              <w:rPr>
                <w:sz w:val="22"/>
                <w:szCs w:val="22"/>
              </w:rPr>
              <w:t>Rabbit</w:t>
            </w:r>
          </w:p>
        </w:tc>
        <w:tc>
          <w:tcPr>
            <w:tcW w:w="1376" w:type="dxa"/>
          </w:tcPr>
          <w:p w14:paraId="2839C3EA" w14:textId="77777777" w:rsidR="003C3AC3" w:rsidRPr="003131ED" w:rsidRDefault="003C3AC3" w:rsidP="002A1835">
            <w:pPr>
              <w:jc w:val="center"/>
              <w:rPr>
                <w:sz w:val="22"/>
                <w:szCs w:val="22"/>
              </w:rPr>
            </w:pPr>
            <w:r w:rsidRPr="003131ED">
              <w:rPr>
                <w:sz w:val="22"/>
                <w:szCs w:val="22"/>
              </w:rPr>
              <w:t>Monoclonal</w:t>
            </w:r>
          </w:p>
        </w:tc>
        <w:tc>
          <w:tcPr>
            <w:tcW w:w="1726" w:type="dxa"/>
          </w:tcPr>
          <w:p w14:paraId="4B1D9F01" w14:textId="77777777" w:rsidR="003C3AC3" w:rsidRPr="003131ED" w:rsidRDefault="003C3AC3" w:rsidP="002A1835">
            <w:pPr>
              <w:jc w:val="center"/>
              <w:rPr>
                <w:sz w:val="22"/>
                <w:szCs w:val="22"/>
              </w:rPr>
            </w:pPr>
            <w:r w:rsidRPr="003131ED">
              <w:rPr>
                <w:sz w:val="22"/>
                <w:szCs w:val="22"/>
              </w:rPr>
              <w:t>IHC – 1:5000</w:t>
            </w:r>
          </w:p>
        </w:tc>
        <w:tc>
          <w:tcPr>
            <w:tcW w:w="2870" w:type="dxa"/>
          </w:tcPr>
          <w:p w14:paraId="4A69CFA4" w14:textId="77777777" w:rsidR="003C3AC3" w:rsidRPr="003131ED" w:rsidRDefault="003C3AC3" w:rsidP="002A1835">
            <w:pPr>
              <w:jc w:val="center"/>
              <w:rPr>
                <w:sz w:val="22"/>
                <w:szCs w:val="22"/>
              </w:rPr>
            </w:pPr>
            <w:r w:rsidRPr="003131ED">
              <w:rPr>
                <w:sz w:val="22"/>
                <w:szCs w:val="22"/>
              </w:rPr>
              <w:t>Abcam Cat# ab212184</w:t>
            </w:r>
          </w:p>
        </w:tc>
      </w:tr>
      <w:tr w:rsidR="003C3AC3" w:rsidRPr="003131ED" w14:paraId="652F5997" w14:textId="77777777" w:rsidTr="002A1835">
        <w:trPr>
          <w:trHeight w:val="404"/>
        </w:trPr>
        <w:tc>
          <w:tcPr>
            <w:tcW w:w="2425" w:type="dxa"/>
          </w:tcPr>
          <w:p w14:paraId="0170DE8E" w14:textId="77777777" w:rsidR="003C3AC3" w:rsidRPr="003131ED" w:rsidRDefault="003C3AC3" w:rsidP="002A1835">
            <w:pPr>
              <w:jc w:val="center"/>
              <w:rPr>
                <w:sz w:val="22"/>
                <w:szCs w:val="22"/>
              </w:rPr>
            </w:pPr>
            <w:r w:rsidRPr="003131ED">
              <w:rPr>
                <w:sz w:val="22"/>
                <w:szCs w:val="22"/>
              </w:rPr>
              <w:t xml:space="preserve">Phospho Ser129 </w:t>
            </w:r>
            <w:r w:rsidRPr="003131ED">
              <w:rPr>
                <w:sz w:val="22"/>
                <w:szCs w:val="22"/>
              </w:rPr>
              <w:sym w:font="Symbol" w:char="F061"/>
            </w:r>
            <w:r w:rsidRPr="003131ED">
              <w:rPr>
                <w:sz w:val="22"/>
                <w:szCs w:val="22"/>
              </w:rPr>
              <w:t>-Synuclein</w:t>
            </w:r>
          </w:p>
        </w:tc>
        <w:tc>
          <w:tcPr>
            <w:tcW w:w="948" w:type="dxa"/>
          </w:tcPr>
          <w:p w14:paraId="6216AD46" w14:textId="77777777" w:rsidR="003C3AC3" w:rsidRPr="003131ED" w:rsidRDefault="003C3AC3" w:rsidP="002A1835">
            <w:pPr>
              <w:jc w:val="center"/>
              <w:rPr>
                <w:sz w:val="22"/>
                <w:szCs w:val="22"/>
              </w:rPr>
            </w:pPr>
            <w:r w:rsidRPr="003131ED">
              <w:rPr>
                <w:sz w:val="22"/>
                <w:szCs w:val="22"/>
              </w:rPr>
              <w:t>Rabbit</w:t>
            </w:r>
          </w:p>
        </w:tc>
        <w:tc>
          <w:tcPr>
            <w:tcW w:w="1376" w:type="dxa"/>
          </w:tcPr>
          <w:p w14:paraId="1B023F68" w14:textId="77777777" w:rsidR="003C3AC3" w:rsidRPr="003131ED" w:rsidRDefault="003C3AC3" w:rsidP="002A1835">
            <w:pPr>
              <w:jc w:val="center"/>
              <w:rPr>
                <w:sz w:val="22"/>
                <w:szCs w:val="22"/>
              </w:rPr>
            </w:pPr>
            <w:r w:rsidRPr="003131ED">
              <w:rPr>
                <w:sz w:val="22"/>
                <w:szCs w:val="22"/>
              </w:rPr>
              <w:t>Monoclonal</w:t>
            </w:r>
          </w:p>
        </w:tc>
        <w:tc>
          <w:tcPr>
            <w:tcW w:w="1726" w:type="dxa"/>
          </w:tcPr>
          <w:p w14:paraId="40474A14" w14:textId="77777777" w:rsidR="003C3AC3" w:rsidRPr="003131ED" w:rsidRDefault="003C3AC3" w:rsidP="002A1835">
            <w:pPr>
              <w:jc w:val="center"/>
              <w:rPr>
                <w:sz w:val="22"/>
                <w:szCs w:val="22"/>
              </w:rPr>
            </w:pPr>
            <w:r w:rsidRPr="003131ED">
              <w:rPr>
                <w:sz w:val="22"/>
                <w:szCs w:val="22"/>
              </w:rPr>
              <w:t>IHC – 1:500</w:t>
            </w:r>
          </w:p>
        </w:tc>
        <w:tc>
          <w:tcPr>
            <w:tcW w:w="2870" w:type="dxa"/>
          </w:tcPr>
          <w:p w14:paraId="09F1BE2E" w14:textId="77777777" w:rsidR="003C3AC3" w:rsidRPr="003131ED" w:rsidRDefault="003C3AC3" w:rsidP="002A1835">
            <w:pPr>
              <w:jc w:val="center"/>
              <w:rPr>
                <w:sz w:val="22"/>
                <w:szCs w:val="22"/>
              </w:rPr>
            </w:pPr>
            <w:r w:rsidRPr="003131ED">
              <w:rPr>
                <w:sz w:val="22"/>
                <w:szCs w:val="22"/>
              </w:rPr>
              <w:t>RRID: AB_869973</w:t>
            </w:r>
          </w:p>
          <w:p w14:paraId="1A19A72E" w14:textId="77777777" w:rsidR="003C3AC3" w:rsidRPr="003131ED" w:rsidRDefault="003C3AC3" w:rsidP="002A1835">
            <w:pPr>
              <w:jc w:val="center"/>
              <w:rPr>
                <w:sz w:val="22"/>
                <w:szCs w:val="22"/>
              </w:rPr>
            </w:pPr>
            <w:r w:rsidRPr="003131ED">
              <w:rPr>
                <w:sz w:val="22"/>
                <w:szCs w:val="22"/>
              </w:rPr>
              <w:t>Abcam Cat# ab51253</w:t>
            </w:r>
          </w:p>
        </w:tc>
      </w:tr>
      <w:tr w:rsidR="003C3AC3" w:rsidRPr="003131ED" w14:paraId="2FDE5839" w14:textId="77777777" w:rsidTr="002A1835">
        <w:trPr>
          <w:trHeight w:val="809"/>
        </w:trPr>
        <w:tc>
          <w:tcPr>
            <w:tcW w:w="2425" w:type="dxa"/>
          </w:tcPr>
          <w:p w14:paraId="648CD370" w14:textId="77777777" w:rsidR="003C3AC3" w:rsidRPr="003131ED" w:rsidRDefault="003C3AC3" w:rsidP="002A1835">
            <w:pPr>
              <w:jc w:val="center"/>
              <w:rPr>
                <w:sz w:val="22"/>
                <w:szCs w:val="22"/>
              </w:rPr>
            </w:pPr>
            <w:r w:rsidRPr="003131ED">
              <w:rPr>
                <w:sz w:val="22"/>
                <w:szCs w:val="22"/>
              </w:rPr>
              <w:t>H-ferritin [D1D4]</w:t>
            </w:r>
          </w:p>
        </w:tc>
        <w:tc>
          <w:tcPr>
            <w:tcW w:w="948" w:type="dxa"/>
          </w:tcPr>
          <w:p w14:paraId="09986AE0" w14:textId="77777777" w:rsidR="003C3AC3" w:rsidRPr="003131ED" w:rsidRDefault="003C3AC3" w:rsidP="002A1835">
            <w:pPr>
              <w:jc w:val="center"/>
              <w:rPr>
                <w:sz w:val="22"/>
                <w:szCs w:val="22"/>
              </w:rPr>
            </w:pPr>
            <w:r w:rsidRPr="003131ED">
              <w:rPr>
                <w:sz w:val="22"/>
                <w:szCs w:val="22"/>
              </w:rPr>
              <w:t>Rabbit</w:t>
            </w:r>
          </w:p>
        </w:tc>
        <w:tc>
          <w:tcPr>
            <w:tcW w:w="1376" w:type="dxa"/>
          </w:tcPr>
          <w:p w14:paraId="3748B82A" w14:textId="77777777" w:rsidR="003C3AC3" w:rsidRPr="003131ED" w:rsidRDefault="003C3AC3" w:rsidP="002A1835">
            <w:pPr>
              <w:jc w:val="center"/>
              <w:rPr>
                <w:sz w:val="22"/>
                <w:szCs w:val="22"/>
              </w:rPr>
            </w:pPr>
            <w:r w:rsidRPr="003131ED">
              <w:rPr>
                <w:sz w:val="22"/>
                <w:szCs w:val="22"/>
              </w:rPr>
              <w:t>Monoclonal</w:t>
            </w:r>
          </w:p>
        </w:tc>
        <w:tc>
          <w:tcPr>
            <w:tcW w:w="1726" w:type="dxa"/>
          </w:tcPr>
          <w:p w14:paraId="7BCE0436" w14:textId="77777777" w:rsidR="003C3AC3" w:rsidRPr="003131ED" w:rsidRDefault="003C3AC3" w:rsidP="002A1835">
            <w:pPr>
              <w:jc w:val="center"/>
              <w:rPr>
                <w:sz w:val="22"/>
                <w:szCs w:val="22"/>
              </w:rPr>
            </w:pPr>
            <w:r w:rsidRPr="003131ED">
              <w:rPr>
                <w:sz w:val="22"/>
                <w:szCs w:val="22"/>
              </w:rPr>
              <w:t>WB – 1:1000</w:t>
            </w:r>
          </w:p>
        </w:tc>
        <w:tc>
          <w:tcPr>
            <w:tcW w:w="2870" w:type="dxa"/>
          </w:tcPr>
          <w:p w14:paraId="29848D78" w14:textId="77777777" w:rsidR="003C3AC3" w:rsidRPr="003131ED" w:rsidRDefault="003C3AC3" w:rsidP="002A1835">
            <w:pPr>
              <w:jc w:val="center"/>
              <w:rPr>
                <w:sz w:val="22"/>
                <w:szCs w:val="22"/>
              </w:rPr>
            </w:pPr>
            <w:r w:rsidRPr="003131ED">
              <w:rPr>
                <w:sz w:val="22"/>
                <w:szCs w:val="22"/>
              </w:rPr>
              <w:t>RRID: AB_11217441</w:t>
            </w:r>
          </w:p>
          <w:p w14:paraId="5D340630" w14:textId="77777777" w:rsidR="003C3AC3" w:rsidRPr="003131ED" w:rsidRDefault="003C3AC3" w:rsidP="002A1835">
            <w:pPr>
              <w:jc w:val="center"/>
              <w:rPr>
                <w:sz w:val="22"/>
                <w:szCs w:val="22"/>
              </w:rPr>
            </w:pPr>
            <w:r w:rsidRPr="003131ED">
              <w:rPr>
                <w:sz w:val="22"/>
                <w:szCs w:val="22"/>
              </w:rPr>
              <w:t>Cell Signaling Technology Cat# 4393</w:t>
            </w:r>
          </w:p>
        </w:tc>
      </w:tr>
      <w:tr w:rsidR="003C3AC3" w:rsidRPr="003131ED" w14:paraId="41546DB8" w14:textId="77777777" w:rsidTr="002A1835">
        <w:trPr>
          <w:trHeight w:val="701"/>
        </w:trPr>
        <w:tc>
          <w:tcPr>
            <w:tcW w:w="2425" w:type="dxa"/>
          </w:tcPr>
          <w:p w14:paraId="7FEB550D" w14:textId="77777777" w:rsidR="003C3AC3" w:rsidRPr="003131ED" w:rsidRDefault="003C3AC3" w:rsidP="002A1835">
            <w:pPr>
              <w:jc w:val="center"/>
              <w:rPr>
                <w:sz w:val="22"/>
                <w:szCs w:val="22"/>
              </w:rPr>
            </w:pPr>
            <w:r w:rsidRPr="003131ED">
              <w:rPr>
                <w:sz w:val="22"/>
                <w:szCs w:val="22"/>
              </w:rPr>
              <w:t>LC3B [D11]</w:t>
            </w:r>
          </w:p>
        </w:tc>
        <w:tc>
          <w:tcPr>
            <w:tcW w:w="948" w:type="dxa"/>
          </w:tcPr>
          <w:p w14:paraId="022AC578" w14:textId="77777777" w:rsidR="003C3AC3" w:rsidRPr="003131ED" w:rsidRDefault="003C3AC3" w:rsidP="002A1835">
            <w:pPr>
              <w:jc w:val="center"/>
              <w:rPr>
                <w:sz w:val="22"/>
                <w:szCs w:val="22"/>
              </w:rPr>
            </w:pPr>
            <w:r w:rsidRPr="003131ED">
              <w:rPr>
                <w:sz w:val="22"/>
                <w:szCs w:val="22"/>
              </w:rPr>
              <w:t>Rabbit</w:t>
            </w:r>
          </w:p>
        </w:tc>
        <w:tc>
          <w:tcPr>
            <w:tcW w:w="1376" w:type="dxa"/>
          </w:tcPr>
          <w:p w14:paraId="3DE635E1" w14:textId="77777777" w:rsidR="003C3AC3" w:rsidRPr="003131ED" w:rsidRDefault="003C3AC3" w:rsidP="002A1835">
            <w:pPr>
              <w:jc w:val="center"/>
              <w:rPr>
                <w:sz w:val="22"/>
                <w:szCs w:val="22"/>
              </w:rPr>
            </w:pPr>
            <w:r w:rsidRPr="003131ED">
              <w:rPr>
                <w:sz w:val="22"/>
                <w:szCs w:val="22"/>
              </w:rPr>
              <w:t>Monoclonal</w:t>
            </w:r>
          </w:p>
        </w:tc>
        <w:tc>
          <w:tcPr>
            <w:tcW w:w="1726" w:type="dxa"/>
          </w:tcPr>
          <w:p w14:paraId="43ADD5CD" w14:textId="77777777" w:rsidR="003C3AC3" w:rsidRPr="003131ED" w:rsidRDefault="003C3AC3" w:rsidP="002A1835">
            <w:pPr>
              <w:jc w:val="center"/>
              <w:rPr>
                <w:sz w:val="22"/>
                <w:szCs w:val="22"/>
              </w:rPr>
            </w:pPr>
            <w:r w:rsidRPr="003131ED">
              <w:rPr>
                <w:sz w:val="22"/>
                <w:szCs w:val="22"/>
              </w:rPr>
              <w:t>WB – 1:1000</w:t>
            </w:r>
          </w:p>
        </w:tc>
        <w:tc>
          <w:tcPr>
            <w:tcW w:w="2870" w:type="dxa"/>
          </w:tcPr>
          <w:p w14:paraId="7EEFFAE0" w14:textId="77777777" w:rsidR="003C3AC3" w:rsidRPr="003131ED" w:rsidRDefault="003C3AC3" w:rsidP="002A1835">
            <w:pPr>
              <w:jc w:val="center"/>
              <w:rPr>
                <w:sz w:val="22"/>
                <w:szCs w:val="22"/>
              </w:rPr>
            </w:pPr>
            <w:r w:rsidRPr="003131ED">
              <w:rPr>
                <w:color w:val="000000" w:themeColor="text1"/>
                <w:sz w:val="22"/>
                <w:szCs w:val="22"/>
              </w:rPr>
              <w:t>RRID: AB_2137707</w:t>
            </w:r>
          </w:p>
          <w:p w14:paraId="577868AC" w14:textId="77777777" w:rsidR="003C3AC3" w:rsidRPr="003131ED" w:rsidRDefault="003C3AC3" w:rsidP="002A1835">
            <w:pPr>
              <w:jc w:val="center"/>
              <w:rPr>
                <w:sz w:val="22"/>
                <w:szCs w:val="22"/>
              </w:rPr>
            </w:pPr>
            <w:r w:rsidRPr="003131ED">
              <w:rPr>
                <w:sz w:val="22"/>
                <w:szCs w:val="22"/>
              </w:rPr>
              <w:t>Cell Signaling Technology Cat# 3868</w:t>
            </w:r>
          </w:p>
        </w:tc>
      </w:tr>
      <w:tr w:rsidR="003C3AC3" w:rsidRPr="003131ED" w14:paraId="52F6FBAD" w14:textId="77777777" w:rsidTr="002A1835">
        <w:trPr>
          <w:trHeight w:val="593"/>
        </w:trPr>
        <w:tc>
          <w:tcPr>
            <w:tcW w:w="2425" w:type="dxa"/>
          </w:tcPr>
          <w:p w14:paraId="5F020083" w14:textId="77777777" w:rsidR="003C3AC3" w:rsidRPr="003131ED" w:rsidRDefault="003C3AC3" w:rsidP="002A1835">
            <w:pPr>
              <w:jc w:val="center"/>
              <w:rPr>
                <w:sz w:val="22"/>
                <w:szCs w:val="22"/>
              </w:rPr>
            </w:pPr>
            <w:r w:rsidRPr="003131ED">
              <w:rPr>
                <w:sz w:val="22"/>
                <w:szCs w:val="22"/>
              </w:rPr>
              <w:t>LC3B</w:t>
            </w:r>
          </w:p>
        </w:tc>
        <w:tc>
          <w:tcPr>
            <w:tcW w:w="948" w:type="dxa"/>
          </w:tcPr>
          <w:p w14:paraId="6ADA852B" w14:textId="77777777" w:rsidR="003C3AC3" w:rsidRPr="003131ED" w:rsidRDefault="003C3AC3" w:rsidP="002A1835">
            <w:pPr>
              <w:jc w:val="center"/>
              <w:rPr>
                <w:sz w:val="22"/>
                <w:szCs w:val="22"/>
              </w:rPr>
            </w:pPr>
            <w:r w:rsidRPr="003131ED">
              <w:rPr>
                <w:sz w:val="22"/>
                <w:szCs w:val="22"/>
              </w:rPr>
              <w:t>Rabbit</w:t>
            </w:r>
          </w:p>
        </w:tc>
        <w:tc>
          <w:tcPr>
            <w:tcW w:w="1376" w:type="dxa"/>
          </w:tcPr>
          <w:p w14:paraId="5C33ABD2" w14:textId="77777777" w:rsidR="003C3AC3" w:rsidRPr="003131ED" w:rsidRDefault="003C3AC3" w:rsidP="002A1835">
            <w:pPr>
              <w:jc w:val="center"/>
              <w:rPr>
                <w:sz w:val="22"/>
                <w:szCs w:val="22"/>
              </w:rPr>
            </w:pPr>
            <w:r w:rsidRPr="003131ED">
              <w:rPr>
                <w:sz w:val="22"/>
                <w:szCs w:val="22"/>
              </w:rPr>
              <w:t>Polyclonal</w:t>
            </w:r>
          </w:p>
        </w:tc>
        <w:tc>
          <w:tcPr>
            <w:tcW w:w="1726" w:type="dxa"/>
          </w:tcPr>
          <w:p w14:paraId="45537207" w14:textId="77777777" w:rsidR="003C3AC3" w:rsidRPr="003131ED" w:rsidRDefault="003C3AC3" w:rsidP="002A1835">
            <w:pPr>
              <w:jc w:val="center"/>
              <w:rPr>
                <w:sz w:val="22"/>
                <w:szCs w:val="22"/>
              </w:rPr>
            </w:pPr>
            <w:r w:rsidRPr="003131ED">
              <w:rPr>
                <w:sz w:val="22"/>
                <w:szCs w:val="22"/>
              </w:rPr>
              <w:t>ICC – 1:1000</w:t>
            </w:r>
          </w:p>
        </w:tc>
        <w:tc>
          <w:tcPr>
            <w:tcW w:w="2870" w:type="dxa"/>
          </w:tcPr>
          <w:p w14:paraId="2D4A4F1C" w14:textId="77777777" w:rsidR="003C3AC3" w:rsidRPr="003131ED" w:rsidRDefault="003C3AC3" w:rsidP="002A1835">
            <w:pPr>
              <w:jc w:val="center"/>
              <w:rPr>
                <w:sz w:val="22"/>
                <w:szCs w:val="22"/>
              </w:rPr>
            </w:pPr>
            <w:r w:rsidRPr="003131ED">
              <w:rPr>
                <w:sz w:val="22"/>
                <w:szCs w:val="22"/>
              </w:rPr>
              <w:t>RRID: AB_10003146</w:t>
            </w:r>
          </w:p>
          <w:p w14:paraId="16C9B37A" w14:textId="77777777" w:rsidR="003C3AC3" w:rsidRPr="003131ED" w:rsidRDefault="003C3AC3" w:rsidP="002A1835">
            <w:pPr>
              <w:jc w:val="center"/>
              <w:rPr>
                <w:sz w:val="22"/>
                <w:szCs w:val="22"/>
              </w:rPr>
            </w:pPr>
            <w:r w:rsidRPr="003131ED">
              <w:rPr>
                <w:sz w:val="22"/>
                <w:szCs w:val="22"/>
              </w:rPr>
              <w:t>Novus Cat# NB100-2220</w:t>
            </w:r>
          </w:p>
        </w:tc>
      </w:tr>
      <w:tr w:rsidR="003C3AC3" w:rsidRPr="003131ED" w14:paraId="1C8B80A7" w14:textId="77777777" w:rsidTr="002A1835">
        <w:trPr>
          <w:trHeight w:val="701"/>
        </w:trPr>
        <w:tc>
          <w:tcPr>
            <w:tcW w:w="2425" w:type="dxa"/>
          </w:tcPr>
          <w:p w14:paraId="68220A11" w14:textId="77777777" w:rsidR="003C3AC3" w:rsidRPr="003131ED" w:rsidRDefault="003C3AC3" w:rsidP="002A1835">
            <w:pPr>
              <w:jc w:val="center"/>
              <w:rPr>
                <w:sz w:val="22"/>
                <w:szCs w:val="22"/>
              </w:rPr>
            </w:pPr>
            <w:r w:rsidRPr="003131ED">
              <w:rPr>
                <w:sz w:val="22"/>
                <w:szCs w:val="22"/>
              </w:rPr>
              <w:t>REDD1</w:t>
            </w:r>
          </w:p>
        </w:tc>
        <w:tc>
          <w:tcPr>
            <w:tcW w:w="948" w:type="dxa"/>
          </w:tcPr>
          <w:p w14:paraId="7CE90F6E" w14:textId="77777777" w:rsidR="003C3AC3" w:rsidRPr="003131ED" w:rsidRDefault="003C3AC3" w:rsidP="002A1835">
            <w:pPr>
              <w:jc w:val="center"/>
              <w:rPr>
                <w:sz w:val="22"/>
                <w:szCs w:val="22"/>
              </w:rPr>
            </w:pPr>
            <w:r w:rsidRPr="003131ED">
              <w:rPr>
                <w:sz w:val="22"/>
                <w:szCs w:val="22"/>
              </w:rPr>
              <w:t>Rabbit</w:t>
            </w:r>
          </w:p>
        </w:tc>
        <w:tc>
          <w:tcPr>
            <w:tcW w:w="1376" w:type="dxa"/>
          </w:tcPr>
          <w:p w14:paraId="1401E653" w14:textId="77777777" w:rsidR="003C3AC3" w:rsidRPr="003131ED" w:rsidRDefault="003C3AC3" w:rsidP="002A1835">
            <w:pPr>
              <w:jc w:val="center"/>
              <w:rPr>
                <w:sz w:val="22"/>
                <w:szCs w:val="22"/>
              </w:rPr>
            </w:pPr>
            <w:r w:rsidRPr="003131ED">
              <w:rPr>
                <w:sz w:val="22"/>
                <w:szCs w:val="22"/>
              </w:rPr>
              <w:t>Polyclonal</w:t>
            </w:r>
          </w:p>
        </w:tc>
        <w:tc>
          <w:tcPr>
            <w:tcW w:w="1726" w:type="dxa"/>
          </w:tcPr>
          <w:p w14:paraId="27EDBF44" w14:textId="77777777" w:rsidR="003C3AC3" w:rsidRPr="003131ED" w:rsidRDefault="003C3AC3" w:rsidP="002A1835">
            <w:pPr>
              <w:jc w:val="center"/>
              <w:rPr>
                <w:sz w:val="22"/>
                <w:szCs w:val="22"/>
              </w:rPr>
            </w:pPr>
            <w:r w:rsidRPr="003131ED">
              <w:rPr>
                <w:sz w:val="22"/>
                <w:szCs w:val="22"/>
              </w:rPr>
              <w:t>WB – 1:500</w:t>
            </w:r>
          </w:p>
        </w:tc>
        <w:tc>
          <w:tcPr>
            <w:tcW w:w="2870" w:type="dxa"/>
          </w:tcPr>
          <w:p w14:paraId="66CF679F" w14:textId="77777777" w:rsidR="003C3AC3" w:rsidRPr="003131ED" w:rsidRDefault="003C3AC3" w:rsidP="002A1835">
            <w:pPr>
              <w:jc w:val="center"/>
              <w:rPr>
                <w:sz w:val="22"/>
                <w:szCs w:val="22"/>
              </w:rPr>
            </w:pPr>
            <w:r w:rsidRPr="003131ED">
              <w:rPr>
                <w:sz w:val="22"/>
                <w:szCs w:val="22"/>
              </w:rPr>
              <w:t>RRID: AB_2245711</w:t>
            </w:r>
          </w:p>
          <w:p w14:paraId="3DC72963" w14:textId="77777777" w:rsidR="003C3AC3" w:rsidRPr="003131ED" w:rsidRDefault="003C3AC3" w:rsidP="002A1835">
            <w:pPr>
              <w:jc w:val="center"/>
              <w:rPr>
                <w:sz w:val="22"/>
                <w:szCs w:val="22"/>
              </w:rPr>
            </w:pPr>
            <w:proofErr w:type="spellStart"/>
            <w:r w:rsidRPr="003131ED">
              <w:rPr>
                <w:sz w:val="22"/>
                <w:szCs w:val="22"/>
              </w:rPr>
              <w:t>Proteintech</w:t>
            </w:r>
            <w:proofErr w:type="spellEnd"/>
            <w:r w:rsidRPr="003131ED">
              <w:rPr>
                <w:sz w:val="22"/>
                <w:szCs w:val="22"/>
              </w:rPr>
              <w:t xml:space="preserve"> Cat# 10638-1-AP</w:t>
            </w:r>
          </w:p>
        </w:tc>
      </w:tr>
      <w:tr w:rsidR="003C3AC3" w:rsidRPr="003131ED" w14:paraId="4D284FEF" w14:textId="77777777" w:rsidTr="002A1835">
        <w:trPr>
          <w:trHeight w:val="764"/>
        </w:trPr>
        <w:tc>
          <w:tcPr>
            <w:tcW w:w="2425" w:type="dxa"/>
          </w:tcPr>
          <w:p w14:paraId="2ED3374C" w14:textId="77777777" w:rsidR="003C3AC3" w:rsidRPr="003131ED" w:rsidRDefault="003C3AC3" w:rsidP="002A1835">
            <w:pPr>
              <w:jc w:val="center"/>
              <w:rPr>
                <w:sz w:val="22"/>
                <w:szCs w:val="22"/>
              </w:rPr>
            </w:pPr>
            <w:r w:rsidRPr="003131ED">
              <w:rPr>
                <w:sz w:val="22"/>
                <w:szCs w:val="22"/>
              </w:rPr>
              <w:t>ULK1 [D8H5]</w:t>
            </w:r>
          </w:p>
        </w:tc>
        <w:tc>
          <w:tcPr>
            <w:tcW w:w="948" w:type="dxa"/>
          </w:tcPr>
          <w:p w14:paraId="77FD3406" w14:textId="77777777" w:rsidR="003C3AC3" w:rsidRPr="003131ED" w:rsidRDefault="003C3AC3" w:rsidP="002A1835">
            <w:pPr>
              <w:jc w:val="center"/>
              <w:rPr>
                <w:sz w:val="22"/>
                <w:szCs w:val="22"/>
              </w:rPr>
            </w:pPr>
            <w:r w:rsidRPr="003131ED">
              <w:rPr>
                <w:sz w:val="22"/>
                <w:szCs w:val="22"/>
              </w:rPr>
              <w:t>Rabbit</w:t>
            </w:r>
          </w:p>
        </w:tc>
        <w:tc>
          <w:tcPr>
            <w:tcW w:w="1376" w:type="dxa"/>
          </w:tcPr>
          <w:p w14:paraId="47C1CD14" w14:textId="77777777" w:rsidR="003C3AC3" w:rsidRPr="003131ED" w:rsidRDefault="003C3AC3" w:rsidP="002A1835">
            <w:pPr>
              <w:jc w:val="center"/>
              <w:rPr>
                <w:sz w:val="22"/>
                <w:szCs w:val="22"/>
              </w:rPr>
            </w:pPr>
            <w:r w:rsidRPr="003131ED">
              <w:rPr>
                <w:sz w:val="22"/>
                <w:szCs w:val="22"/>
              </w:rPr>
              <w:t>Monoclonal</w:t>
            </w:r>
          </w:p>
        </w:tc>
        <w:tc>
          <w:tcPr>
            <w:tcW w:w="1726" w:type="dxa"/>
          </w:tcPr>
          <w:p w14:paraId="70E55EB1" w14:textId="77777777" w:rsidR="003C3AC3" w:rsidRPr="003131ED" w:rsidRDefault="003C3AC3" w:rsidP="002A1835">
            <w:pPr>
              <w:jc w:val="center"/>
              <w:rPr>
                <w:sz w:val="22"/>
                <w:szCs w:val="22"/>
              </w:rPr>
            </w:pPr>
            <w:r w:rsidRPr="003131ED">
              <w:rPr>
                <w:sz w:val="22"/>
                <w:szCs w:val="22"/>
              </w:rPr>
              <w:t>WB – 1:1000</w:t>
            </w:r>
          </w:p>
        </w:tc>
        <w:tc>
          <w:tcPr>
            <w:tcW w:w="2870" w:type="dxa"/>
          </w:tcPr>
          <w:p w14:paraId="2A6E91C1" w14:textId="77777777" w:rsidR="003C3AC3" w:rsidRPr="003131ED" w:rsidRDefault="003C3AC3" w:rsidP="002A1835">
            <w:pPr>
              <w:jc w:val="center"/>
              <w:rPr>
                <w:sz w:val="22"/>
                <w:szCs w:val="22"/>
              </w:rPr>
            </w:pPr>
            <w:r w:rsidRPr="003131ED">
              <w:rPr>
                <w:sz w:val="22"/>
                <w:szCs w:val="22"/>
              </w:rPr>
              <w:t>RRID: AB_11178668</w:t>
            </w:r>
          </w:p>
          <w:p w14:paraId="6EDA70DA" w14:textId="77777777" w:rsidR="003C3AC3" w:rsidRPr="003131ED" w:rsidRDefault="003C3AC3" w:rsidP="002A1835">
            <w:pPr>
              <w:jc w:val="center"/>
              <w:rPr>
                <w:sz w:val="22"/>
                <w:szCs w:val="22"/>
              </w:rPr>
            </w:pPr>
            <w:r w:rsidRPr="003131ED">
              <w:rPr>
                <w:sz w:val="22"/>
                <w:szCs w:val="22"/>
              </w:rPr>
              <w:t>Cell Signaling Technology Cat# 8054</w:t>
            </w:r>
          </w:p>
        </w:tc>
      </w:tr>
      <w:tr w:rsidR="003C3AC3" w:rsidRPr="003131ED" w14:paraId="488B9E0D" w14:textId="77777777" w:rsidTr="002A1835">
        <w:trPr>
          <w:trHeight w:val="728"/>
        </w:trPr>
        <w:tc>
          <w:tcPr>
            <w:tcW w:w="2425" w:type="dxa"/>
          </w:tcPr>
          <w:p w14:paraId="1E8F5DAA" w14:textId="77777777" w:rsidR="003C3AC3" w:rsidRPr="003131ED" w:rsidRDefault="003C3AC3" w:rsidP="002A1835">
            <w:pPr>
              <w:jc w:val="center"/>
              <w:rPr>
                <w:sz w:val="22"/>
                <w:szCs w:val="22"/>
              </w:rPr>
            </w:pPr>
            <w:r w:rsidRPr="003131ED">
              <w:rPr>
                <w:sz w:val="22"/>
                <w:szCs w:val="22"/>
              </w:rPr>
              <w:t>Phospho Ser757 ULK1</w:t>
            </w:r>
          </w:p>
        </w:tc>
        <w:tc>
          <w:tcPr>
            <w:tcW w:w="948" w:type="dxa"/>
          </w:tcPr>
          <w:p w14:paraId="7D09146D" w14:textId="77777777" w:rsidR="003C3AC3" w:rsidRPr="003131ED" w:rsidRDefault="003C3AC3" w:rsidP="002A1835">
            <w:pPr>
              <w:jc w:val="center"/>
              <w:rPr>
                <w:sz w:val="22"/>
                <w:szCs w:val="22"/>
              </w:rPr>
            </w:pPr>
            <w:r w:rsidRPr="003131ED">
              <w:rPr>
                <w:sz w:val="22"/>
                <w:szCs w:val="22"/>
              </w:rPr>
              <w:t>Rabbit</w:t>
            </w:r>
          </w:p>
        </w:tc>
        <w:tc>
          <w:tcPr>
            <w:tcW w:w="1376" w:type="dxa"/>
          </w:tcPr>
          <w:p w14:paraId="60619959" w14:textId="77777777" w:rsidR="003C3AC3" w:rsidRPr="003131ED" w:rsidRDefault="003C3AC3" w:rsidP="002A1835">
            <w:pPr>
              <w:jc w:val="center"/>
              <w:rPr>
                <w:sz w:val="22"/>
                <w:szCs w:val="22"/>
              </w:rPr>
            </w:pPr>
            <w:r w:rsidRPr="003131ED">
              <w:rPr>
                <w:sz w:val="22"/>
                <w:szCs w:val="22"/>
              </w:rPr>
              <w:t>Polyclonal</w:t>
            </w:r>
          </w:p>
        </w:tc>
        <w:tc>
          <w:tcPr>
            <w:tcW w:w="1726" w:type="dxa"/>
          </w:tcPr>
          <w:p w14:paraId="1B44DFFF" w14:textId="77777777" w:rsidR="003C3AC3" w:rsidRPr="003131ED" w:rsidRDefault="003C3AC3" w:rsidP="002A1835">
            <w:pPr>
              <w:jc w:val="center"/>
              <w:rPr>
                <w:sz w:val="22"/>
                <w:szCs w:val="22"/>
              </w:rPr>
            </w:pPr>
            <w:r w:rsidRPr="003131ED">
              <w:rPr>
                <w:sz w:val="22"/>
                <w:szCs w:val="22"/>
              </w:rPr>
              <w:t>WB – 1:500</w:t>
            </w:r>
          </w:p>
        </w:tc>
        <w:tc>
          <w:tcPr>
            <w:tcW w:w="2870" w:type="dxa"/>
          </w:tcPr>
          <w:p w14:paraId="3C520C5C" w14:textId="77777777" w:rsidR="003C3AC3" w:rsidRPr="003131ED" w:rsidRDefault="003C3AC3" w:rsidP="002A1835">
            <w:pPr>
              <w:jc w:val="center"/>
              <w:rPr>
                <w:sz w:val="22"/>
                <w:szCs w:val="22"/>
              </w:rPr>
            </w:pPr>
            <w:r w:rsidRPr="003131ED">
              <w:rPr>
                <w:sz w:val="22"/>
                <w:szCs w:val="22"/>
              </w:rPr>
              <w:t>RRID: AB_10829226</w:t>
            </w:r>
          </w:p>
          <w:p w14:paraId="32B0ED47" w14:textId="77777777" w:rsidR="003C3AC3" w:rsidRPr="003131ED" w:rsidRDefault="003C3AC3" w:rsidP="002A1835">
            <w:pPr>
              <w:jc w:val="center"/>
              <w:rPr>
                <w:sz w:val="22"/>
                <w:szCs w:val="22"/>
              </w:rPr>
            </w:pPr>
            <w:r w:rsidRPr="003131ED">
              <w:rPr>
                <w:sz w:val="22"/>
                <w:szCs w:val="22"/>
              </w:rPr>
              <w:t>Cell Signaling Technology Cat# 6888</w:t>
            </w:r>
          </w:p>
        </w:tc>
      </w:tr>
      <w:tr w:rsidR="003C3AC3" w:rsidRPr="003131ED" w14:paraId="2AEF6615" w14:textId="77777777" w:rsidTr="002A1835">
        <w:trPr>
          <w:trHeight w:val="422"/>
        </w:trPr>
        <w:tc>
          <w:tcPr>
            <w:tcW w:w="2425" w:type="dxa"/>
          </w:tcPr>
          <w:p w14:paraId="2F3B29B9" w14:textId="77777777" w:rsidR="003C3AC3" w:rsidRPr="003131ED" w:rsidRDefault="003C3AC3" w:rsidP="002A1835">
            <w:pPr>
              <w:jc w:val="center"/>
              <w:rPr>
                <w:sz w:val="22"/>
                <w:szCs w:val="22"/>
              </w:rPr>
            </w:pPr>
            <w:r w:rsidRPr="003131ED">
              <w:rPr>
                <w:bCs/>
                <w:sz w:val="22"/>
                <w:szCs w:val="22"/>
              </w:rPr>
              <w:sym w:font="Symbol" w:char="F062"/>
            </w:r>
            <w:r w:rsidRPr="003131ED">
              <w:rPr>
                <w:bCs/>
                <w:sz w:val="22"/>
                <w:szCs w:val="22"/>
              </w:rPr>
              <w:t>-actin</w:t>
            </w:r>
          </w:p>
        </w:tc>
        <w:tc>
          <w:tcPr>
            <w:tcW w:w="948" w:type="dxa"/>
          </w:tcPr>
          <w:p w14:paraId="0BBC5F40" w14:textId="77777777" w:rsidR="003C3AC3" w:rsidRPr="003131ED" w:rsidRDefault="003C3AC3" w:rsidP="002A1835">
            <w:pPr>
              <w:jc w:val="center"/>
              <w:rPr>
                <w:sz w:val="22"/>
                <w:szCs w:val="22"/>
              </w:rPr>
            </w:pPr>
            <w:r w:rsidRPr="003131ED">
              <w:rPr>
                <w:sz w:val="22"/>
                <w:szCs w:val="22"/>
              </w:rPr>
              <w:t>Mouse</w:t>
            </w:r>
          </w:p>
        </w:tc>
        <w:tc>
          <w:tcPr>
            <w:tcW w:w="1376" w:type="dxa"/>
          </w:tcPr>
          <w:p w14:paraId="549EC0D6" w14:textId="77777777" w:rsidR="003C3AC3" w:rsidRPr="003131ED" w:rsidRDefault="003C3AC3" w:rsidP="002A1835">
            <w:pPr>
              <w:jc w:val="center"/>
              <w:rPr>
                <w:sz w:val="22"/>
                <w:szCs w:val="22"/>
              </w:rPr>
            </w:pPr>
            <w:r w:rsidRPr="003131ED">
              <w:rPr>
                <w:sz w:val="22"/>
                <w:szCs w:val="22"/>
              </w:rPr>
              <w:t>Monoclonal</w:t>
            </w:r>
          </w:p>
        </w:tc>
        <w:tc>
          <w:tcPr>
            <w:tcW w:w="1726" w:type="dxa"/>
          </w:tcPr>
          <w:p w14:paraId="6958C07C" w14:textId="77777777" w:rsidR="003C3AC3" w:rsidRPr="003131ED" w:rsidRDefault="003C3AC3" w:rsidP="002A1835">
            <w:pPr>
              <w:jc w:val="center"/>
              <w:rPr>
                <w:sz w:val="22"/>
                <w:szCs w:val="22"/>
              </w:rPr>
            </w:pPr>
            <w:r w:rsidRPr="003131ED">
              <w:rPr>
                <w:sz w:val="22"/>
                <w:szCs w:val="22"/>
              </w:rPr>
              <w:t>WB - 1:10,000</w:t>
            </w:r>
          </w:p>
        </w:tc>
        <w:tc>
          <w:tcPr>
            <w:tcW w:w="2870" w:type="dxa"/>
          </w:tcPr>
          <w:p w14:paraId="0CDD40B9" w14:textId="77777777" w:rsidR="003C3AC3" w:rsidRPr="003131ED" w:rsidRDefault="003C3AC3" w:rsidP="002A1835">
            <w:pPr>
              <w:jc w:val="center"/>
              <w:rPr>
                <w:sz w:val="22"/>
                <w:szCs w:val="22"/>
              </w:rPr>
            </w:pPr>
            <w:r w:rsidRPr="003131ED">
              <w:rPr>
                <w:sz w:val="22"/>
                <w:szCs w:val="22"/>
              </w:rPr>
              <w:t>RRID: AB_2289225</w:t>
            </w:r>
          </w:p>
          <w:p w14:paraId="1F08AD5C" w14:textId="77777777" w:rsidR="003C3AC3" w:rsidRPr="003131ED" w:rsidRDefault="003C3AC3" w:rsidP="002A1835">
            <w:pPr>
              <w:jc w:val="center"/>
              <w:rPr>
                <w:sz w:val="22"/>
                <w:szCs w:val="22"/>
              </w:rPr>
            </w:pPr>
            <w:proofErr w:type="spellStart"/>
            <w:r w:rsidRPr="003131ED">
              <w:rPr>
                <w:sz w:val="22"/>
                <w:szCs w:val="22"/>
              </w:rPr>
              <w:t>Proteintech</w:t>
            </w:r>
            <w:proofErr w:type="spellEnd"/>
            <w:r w:rsidRPr="003131ED">
              <w:rPr>
                <w:sz w:val="22"/>
                <w:szCs w:val="22"/>
              </w:rPr>
              <w:t xml:space="preserve"> Cat# 60008-1-Ig </w:t>
            </w:r>
          </w:p>
        </w:tc>
      </w:tr>
      <w:tr w:rsidR="003C3AC3" w:rsidRPr="003131ED" w14:paraId="594E1AAA" w14:textId="77777777" w:rsidTr="002A1835">
        <w:trPr>
          <w:trHeight w:val="404"/>
        </w:trPr>
        <w:tc>
          <w:tcPr>
            <w:tcW w:w="2425" w:type="dxa"/>
          </w:tcPr>
          <w:p w14:paraId="3D2C0E4B" w14:textId="77777777" w:rsidR="003C3AC3" w:rsidRPr="003131ED" w:rsidRDefault="003C3AC3" w:rsidP="002A1835">
            <w:pPr>
              <w:jc w:val="center"/>
              <w:rPr>
                <w:sz w:val="22"/>
                <w:szCs w:val="22"/>
              </w:rPr>
            </w:pPr>
            <w:r w:rsidRPr="003131ED">
              <w:rPr>
                <w:sz w:val="22"/>
                <w:szCs w:val="22"/>
              </w:rPr>
              <w:t>Goat Ant-Mouse IgG - H&amp;L (HRP)</w:t>
            </w:r>
          </w:p>
        </w:tc>
        <w:tc>
          <w:tcPr>
            <w:tcW w:w="948" w:type="dxa"/>
          </w:tcPr>
          <w:p w14:paraId="5E2D24D7" w14:textId="77777777" w:rsidR="003C3AC3" w:rsidRPr="003131ED" w:rsidRDefault="003C3AC3" w:rsidP="002A1835">
            <w:pPr>
              <w:jc w:val="center"/>
              <w:rPr>
                <w:sz w:val="22"/>
                <w:szCs w:val="22"/>
              </w:rPr>
            </w:pPr>
            <w:r w:rsidRPr="003131ED">
              <w:rPr>
                <w:sz w:val="22"/>
                <w:szCs w:val="22"/>
              </w:rPr>
              <w:t>Goat</w:t>
            </w:r>
          </w:p>
        </w:tc>
        <w:tc>
          <w:tcPr>
            <w:tcW w:w="1376" w:type="dxa"/>
          </w:tcPr>
          <w:p w14:paraId="04EB44E5" w14:textId="77777777" w:rsidR="003C3AC3" w:rsidRPr="003131ED" w:rsidRDefault="003C3AC3" w:rsidP="002A1835">
            <w:pPr>
              <w:jc w:val="center"/>
              <w:rPr>
                <w:sz w:val="22"/>
                <w:szCs w:val="22"/>
              </w:rPr>
            </w:pPr>
            <w:r w:rsidRPr="003131ED">
              <w:rPr>
                <w:sz w:val="22"/>
                <w:szCs w:val="22"/>
              </w:rPr>
              <w:t>Polyclonal</w:t>
            </w:r>
          </w:p>
        </w:tc>
        <w:tc>
          <w:tcPr>
            <w:tcW w:w="1726" w:type="dxa"/>
          </w:tcPr>
          <w:p w14:paraId="50BEB12C" w14:textId="77777777" w:rsidR="003C3AC3" w:rsidRPr="003131ED" w:rsidRDefault="003C3AC3" w:rsidP="002A1835">
            <w:pPr>
              <w:jc w:val="center"/>
              <w:rPr>
                <w:sz w:val="22"/>
                <w:szCs w:val="22"/>
              </w:rPr>
            </w:pPr>
            <w:r w:rsidRPr="003131ED">
              <w:rPr>
                <w:sz w:val="22"/>
                <w:szCs w:val="22"/>
              </w:rPr>
              <w:t>WB – 1:2500</w:t>
            </w:r>
          </w:p>
        </w:tc>
        <w:tc>
          <w:tcPr>
            <w:tcW w:w="2870" w:type="dxa"/>
          </w:tcPr>
          <w:p w14:paraId="3E9FD6BA" w14:textId="77777777" w:rsidR="003C3AC3" w:rsidRPr="003131ED" w:rsidRDefault="003C3AC3" w:rsidP="002A1835">
            <w:pPr>
              <w:jc w:val="center"/>
              <w:rPr>
                <w:sz w:val="22"/>
                <w:szCs w:val="22"/>
              </w:rPr>
            </w:pPr>
            <w:r w:rsidRPr="003131ED">
              <w:rPr>
                <w:sz w:val="22"/>
                <w:szCs w:val="22"/>
              </w:rPr>
              <w:t>RRID: AB_955439</w:t>
            </w:r>
          </w:p>
          <w:p w14:paraId="14FD6D12" w14:textId="77777777" w:rsidR="003C3AC3" w:rsidRPr="003131ED" w:rsidRDefault="003C3AC3" w:rsidP="002A1835">
            <w:pPr>
              <w:jc w:val="center"/>
              <w:rPr>
                <w:sz w:val="22"/>
                <w:szCs w:val="22"/>
              </w:rPr>
            </w:pPr>
            <w:r w:rsidRPr="003131ED">
              <w:rPr>
                <w:sz w:val="22"/>
                <w:szCs w:val="22"/>
              </w:rPr>
              <w:t>Abcam Cat# ab6789</w:t>
            </w:r>
          </w:p>
        </w:tc>
      </w:tr>
      <w:tr w:rsidR="003C3AC3" w:rsidRPr="003131ED" w14:paraId="16A0955D" w14:textId="77777777" w:rsidTr="002A1835">
        <w:trPr>
          <w:trHeight w:val="710"/>
        </w:trPr>
        <w:tc>
          <w:tcPr>
            <w:tcW w:w="2425" w:type="dxa"/>
          </w:tcPr>
          <w:p w14:paraId="2461BE68" w14:textId="77777777" w:rsidR="003C3AC3" w:rsidRPr="003131ED" w:rsidRDefault="003C3AC3" w:rsidP="002A1835">
            <w:pPr>
              <w:jc w:val="center"/>
              <w:rPr>
                <w:sz w:val="22"/>
                <w:szCs w:val="22"/>
              </w:rPr>
            </w:pPr>
            <w:r w:rsidRPr="003131ED">
              <w:rPr>
                <w:sz w:val="22"/>
                <w:szCs w:val="22"/>
              </w:rPr>
              <w:t>Goat Anti-Rabbit IgG-H&amp;L (HRP)</w:t>
            </w:r>
          </w:p>
        </w:tc>
        <w:tc>
          <w:tcPr>
            <w:tcW w:w="948" w:type="dxa"/>
          </w:tcPr>
          <w:p w14:paraId="54D25CAB" w14:textId="77777777" w:rsidR="003C3AC3" w:rsidRPr="003131ED" w:rsidRDefault="003C3AC3" w:rsidP="002A1835">
            <w:pPr>
              <w:jc w:val="center"/>
              <w:rPr>
                <w:sz w:val="22"/>
                <w:szCs w:val="22"/>
              </w:rPr>
            </w:pPr>
            <w:r w:rsidRPr="003131ED">
              <w:rPr>
                <w:sz w:val="22"/>
                <w:szCs w:val="22"/>
              </w:rPr>
              <w:t>Goat</w:t>
            </w:r>
          </w:p>
        </w:tc>
        <w:tc>
          <w:tcPr>
            <w:tcW w:w="1376" w:type="dxa"/>
          </w:tcPr>
          <w:p w14:paraId="2539F180" w14:textId="77777777" w:rsidR="003C3AC3" w:rsidRPr="003131ED" w:rsidRDefault="003C3AC3" w:rsidP="002A1835">
            <w:pPr>
              <w:jc w:val="center"/>
              <w:rPr>
                <w:sz w:val="22"/>
                <w:szCs w:val="22"/>
              </w:rPr>
            </w:pPr>
            <w:r w:rsidRPr="003131ED">
              <w:rPr>
                <w:sz w:val="22"/>
                <w:szCs w:val="22"/>
              </w:rPr>
              <w:t>Polyclonal</w:t>
            </w:r>
          </w:p>
        </w:tc>
        <w:tc>
          <w:tcPr>
            <w:tcW w:w="1726" w:type="dxa"/>
          </w:tcPr>
          <w:p w14:paraId="3AF28C20" w14:textId="77777777" w:rsidR="003C3AC3" w:rsidRPr="003131ED" w:rsidRDefault="003C3AC3" w:rsidP="002A1835">
            <w:pPr>
              <w:jc w:val="center"/>
              <w:rPr>
                <w:sz w:val="22"/>
                <w:szCs w:val="22"/>
              </w:rPr>
            </w:pPr>
            <w:r w:rsidRPr="003131ED">
              <w:rPr>
                <w:sz w:val="22"/>
                <w:szCs w:val="22"/>
              </w:rPr>
              <w:t>WB – 1:2500</w:t>
            </w:r>
          </w:p>
        </w:tc>
        <w:tc>
          <w:tcPr>
            <w:tcW w:w="2870" w:type="dxa"/>
          </w:tcPr>
          <w:p w14:paraId="05F66C30" w14:textId="77777777" w:rsidR="003C3AC3" w:rsidRPr="003131ED" w:rsidRDefault="003C3AC3" w:rsidP="002A1835">
            <w:pPr>
              <w:jc w:val="center"/>
              <w:rPr>
                <w:sz w:val="22"/>
                <w:szCs w:val="22"/>
              </w:rPr>
            </w:pPr>
            <w:r w:rsidRPr="003131ED">
              <w:rPr>
                <w:sz w:val="22"/>
                <w:szCs w:val="22"/>
              </w:rPr>
              <w:t>RRID: AB_524669</w:t>
            </w:r>
          </w:p>
          <w:p w14:paraId="59A128A1" w14:textId="77777777" w:rsidR="003C3AC3" w:rsidRPr="003131ED" w:rsidRDefault="003C3AC3" w:rsidP="002A1835">
            <w:pPr>
              <w:jc w:val="center"/>
              <w:rPr>
                <w:sz w:val="22"/>
                <w:szCs w:val="22"/>
              </w:rPr>
            </w:pPr>
            <w:r w:rsidRPr="003131ED">
              <w:rPr>
                <w:sz w:val="22"/>
                <w:szCs w:val="22"/>
              </w:rPr>
              <w:t>Novus Cat# NB 7160</w:t>
            </w:r>
          </w:p>
        </w:tc>
      </w:tr>
      <w:tr w:rsidR="003C3AC3" w:rsidRPr="003131ED" w14:paraId="54E05CD7" w14:textId="77777777" w:rsidTr="002A1835">
        <w:trPr>
          <w:trHeight w:val="710"/>
        </w:trPr>
        <w:tc>
          <w:tcPr>
            <w:tcW w:w="2425" w:type="dxa"/>
          </w:tcPr>
          <w:p w14:paraId="298EC157" w14:textId="77777777" w:rsidR="003C3AC3" w:rsidRPr="003131ED" w:rsidRDefault="003C3AC3" w:rsidP="002A1835">
            <w:pPr>
              <w:jc w:val="center"/>
              <w:rPr>
                <w:sz w:val="22"/>
                <w:szCs w:val="22"/>
              </w:rPr>
            </w:pPr>
            <w:r w:rsidRPr="003131ED">
              <w:rPr>
                <w:sz w:val="22"/>
                <w:szCs w:val="22"/>
              </w:rPr>
              <w:t>Goat Anti-Rabbit IgG H&amp;L (Alexa Fluor® 488)</w:t>
            </w:r>
          </w:p>
        </w:tc>
        <w:tc>
          <w:tcPr>
            <w:tcW w:w="948" w:type="dxa"/>
          </w:tcPr>
          <w:p w14:paraId="649BF50E" w14:textId="77777777" w:rsidR="003C3AC3" w:rsidRPr="003131ED" w:rsidRDefault="003C3AC3" w:rsidP="002A1835">
            <w:pPr>
              <w:jc w:val="center"/>
              <w:rPr>
                <w:sz w:val="22"/>
                <w:szCs w:val="22"/>
              </w:rPr>
            </w:pPr>
            <w:r w:rsidRPr="003131ED">
              <w:rPr>
                <w:sz w:val="22"/>
                <w:szCs w:val="22"/>
              </w:rPr>
              <w:t>Goat</w:t>
            </w:r>
          </w:p>
        </w:tc>
        <w:tc>
          <w:tcPr>
            <w:tcW w:w="1376" w:type="dxa"/>
          </w:tcPr>
          <w:p w14:paraId="4E14FABE" w14:textId="77777777" w:rsidR="003C3AC3" w:rsidRPr="003131ED" w:rsidRDefault="003C3AC3" w:rsidP="002A1835">
            <w:pPr>
              <w:jc w:val="center"/>
              <w:rPr>
                <w:sz w:val="22"/>
                <w:szCs w:val="22"/>
              </w:rPr>
            </w:pPr>
            <w:r w:rsidRPr="003131ED">
              <w:rPr>
                <w:sz w:val="22"/>
                <w:szCs w:val="22"/>
              </w:rPr>
              <w:t>Polyclonal</w:t>
            </w:r>
          </w:p>
        </w:tc>
        <w:tc>
          <w:tcPr>
            <w:tcW w:w="1726" w:type="dxa"/>
          </w:tcPr>
          <w:p w14:paraId="25DACD15" w14:textId="77777777" w:rsidR="003C3AC3" w:rsidRPr="003131ED" w:rsidRDefault="003C3AC3" w:rsidP="002A1835">
            <w:pPr>
              <w:jc w:val="center"/>
              <w:rPr>
                <w:sz w:val="22"/>
                <w:szCs w:val="22"/>
              </w:rPr>
            </w:pPr>
            <w:r w:rsidRPr="003131ED">
              <w:rPr>
                <w:sz w:val="22"/>
                <w:szCs w:val="22"/>
              </w:rPr>
              <w:t>ICC – 1:2000</w:t>
            </w:r>
          </w:p>
          <w:p w14:paraId="15E43101" w14:textId="4521CDDB" w:rsidR="00EC33F7" w:rsidRPr="003131ED" w:rsidRDefault="00EC33F7" w:rsidP="002A1835">
            <w:pPr>
              <w:jc w:val="center"/>
              <w:rPr>
                <w:sz w:val="22"/>
                <w:szCs w:val="22"/>
              </w:rPr>
            </w:pPr>
            <w:r w:rsidRPr="003131ED">
              <w:rPr>
                <w:sz w:val="22"/>
                <w:szCs w:val="22"/>
              </w:rPr>
              <w:t>IHC – 1:1000</w:t>
            </w:r>
          </w:p>
        </w:tc>
        <w:tc>
          <w:tcPr>
            <w:tcW w:w="2870" w:type="dxa"/>
          </w:tcPr>
          <w:p w14:paraId="6E38AF01" w14:textId="77777777" w:rsidR="003C3AC3" w:rsidRPr="003131ED" w:rsidRDefault="003C3AC3" w:rsidP="002A1835">
            <w:pPr>
              <w:jc w:val="center"/>
              <w:rPr>
                <w:sz w:val="22"/>
                <w:szCs w:val="22"/>
              </w:rPr>
            </w:pPr>
            <w:r w:rsidRPr="003131ED">
              <w:rPr>
                <w:sz w:val="22"/>
                <w:szCs w:val="22"/>
              </w:rPr>
              <w:t>RRID: AB_2630356</w:t>
            </w:r>
          </w:p>
          <w:p w14:paraId="0F9EA9AF" w14:textId="77777777" w:rsidR="003C3AC3" w:rsidRPr="003131ED" w:rsidRDefault="003C3AC3" w:rsidP="002A1835">
            <w:pPr>
              <w:jc w:val="center"/>
              <w:rPr>
                <w:sz w:val="22"/>
                <w:szCs w:val="22"/>
              </w:rPr>
            </w:pPr>
            <w:r w:rsidRPr="003131ED">
              <w:rPr>
                <w:sz w:val="22"/>
                <w:szCs w:val="22"/>
              </w:rPr>
              <w:t>Abcam Cat# ab150077</w:t>
            </w:r>
          </w:p>
        </w:tc>
      </w:tr>
      <w:tr w:rsidR="003C3AC3" w:rsidRPr="003131ED" w14:paraId="70D2B1C1" w14:textId="77777777" w:rsidTr="002A1835">
        <w:trPr>
          <w:trHeight w:val="260"/>
        </w:trPr>
        <w:tc>
          <w:tcPr>
            <w:tcW w:w="2425" w:type="dxa"/>
          </w:tcPr>
          <w:p w14:paraId="3E567BC6" w14:textId="77777777" w:rsidR="003C3AC3" w:rsidRPr="003131ED" w:rsidRDefault="003C3AC3" w:rsidP="002A1835">
            <w:pPr>
              <w:jc w:val="center"/>
              <w:rPr>
                <w:sz w:val="22"/>
                <w:szCs w:val="22"/>
              </w:rPr>
            </w:pPr>
            <w:r w:rsidRPr="003131ED">
              <w:rPr>
                <w:sz w:val="22"/>
                <w:szCs w:val="22"/>
              </w:rPr>
              <w:t>Goat Anti-Mouse IgG H&amp;L (Alexa Fluor® 568)</w:t>
            </w:r>
          </w:p>
        </w:tc>
        <w:tc>
          <w:tcPr>
            <w:tcW w:w="948" w:type="dxa"/>
          </w:tcPr>
          <w:p w14:paraId="16D72257" w14:textId="77777777" w:rsidR="003C3AC3" w:rsidRPr="003131ED" w:rsidRDefault="003C3AC3" w:rsidP="002A1835">
            <w:pPr>
              <w:jc w:val="center"/>
              <w:rPr>
                <w:sz w:val="22"/>
                <w:szCs w:val="22"/>
              </w:rPr>
            </w:pPr>
            <w:r w:rsidRPr="003131ED">
              <w:rPr>
                <w:sz w:val="22"/>
                <w:szCs w:val="22"/>
              </w:rPr>
              <w:t>Goat</w:t>
            </w:r>
          </w:p>
        </w:tc>
        <w:tc>
          <w:tcPr>
            <w:tcW w:w="1376" w:type="dxa"/>
          </w:tcPr>
          <w:p w14:paraId="564D1B0D" w14:textId="77777777" w:rsidR="003C3AC3" w:rsidRPr="003131ED" w:rsidRDefault="003C3AC3" w:rsidP="002A1835">
            <w:pPr>
              <w:jc w:val="center"/>
              <w:rPr>
                <w:sz w:val="22"/>
                <w:szCs w:val="22"/>
              </w:rPr>
            </w:pPr>
            <w:r w:rsidRPr="003131ED">
              <w:rPr>
                <w:sz w:val="22"/>
                <w:szCs w:val="22"/>
              </w:rPr>
              <w:t>Polyclonal</w:t>
            </w:r>
          </w:p>
        </w:tc>
        <w:tc>
          <w:tcPr>
            <w:tcW w:w="1726" w:type="dxa"/>
          </w:tcPr>
          <w:p w14:paraId="6713AB72" w14:textId="77777777" w:rsidR="003C3AC3" w:rsidRPr="003131ED" w:rsidRDefault="003C3AC3" w:rsidP="002A1835">
            <w:pPr>
              <w:jc w:val="center"/>
              <w:rPr>
                <w:sz w:val="22"/>
                <w:szCs w:val="22"/>
              </w:rPr>
            </w:pPr>
            <w:r w:rsidRPr="003131ED">
              <w:rPr>
                <w:sz w:val="22"/>
                <w:szCs w:val="22"/>
              </w:rPr>
              <w:t>ICC – 1:2000</w:t>
            </w:r>
          </w:p>
        </w:tc>
        <w:tc>
          <w:tcPr>
            <w:tcW w:w="2870" w:type="dxa"/>
          </w:tcPr>
          <w:p w14:paraId="78A51990" w14:textId="77777777" w:rsidR="003C3AC3" w:rsidRPr="003131ED" w:rsidRDefault="003C3AC3" w:rsidP="002A1835">
            <w:pPr>
              <w:jc w:val="center"/>
              <w:rPr>
                <w:sz w:val="22"/>
                <w:szCs w:val="22"/>
              </w:rPr>
            </w:pPr>
            <w:r w:rsidRPr="003131ED">
              <w:rPr>
                <w:sz w:val="22"/>
                <w:szCs w:val="22"/>
              </w:rPr>
              <w:t>Abcam Cat# ab175473</w:t>
            </w:r>
          </w:p>
        </w:tc>
      </w:tr>
      <w:tr w:rsidR="003C3AC3" w:rsidRPr="003131ED" w14:paraId="07BF21D7" w14:textId="77777777" w:rsidTr="002A1835">
        <w:trPr>
          <w:trHeight w:val="584"/>
        </w:trPr>
        <w:tc>
          <w:tcPr>
            <w:tcW w:w="2425" w:type="dxa"/>
          </w:tcPr>
          <w:p w14:paraId="5DFA3079" w14:textId="77777777" w:rsidR="003C3AC3" w:rsidRPr="003131ED" w:rsidRDefault="003C3AC3" w:rsidP="002A1835">
            <w:pPr>
              <w:jc w:val="center"/>
              <w:rPr>
                <w:sz w:val="22"/>
                <w:szCs w:val="22"/>
              </w:rPr>
            </w:pPr>
            <w:r w:rsidRPr="003131ED">
              <w:rPr>
                <w:sz w:val="22"/>
                <w:szCs w:val="22"/>
              </w:rPr>
              <w:t>Biotinylated Anti-Rabbit IgG</w:t>
            </w:r>
          </w:p>
        </w:tc>
        <w:tc>
          <w:tcPr>
            <w:tcW w:w="948" w:type="dxa"/>
          </w:tcPr>
          <w:p w14:paraId="6222796E" w14:textId="77777777" w:rsidR="003C3AC3" w:rsidRPr="003131ED" w:rsidRDefault="003C3AC3" w:rsidP="002A1835">
            <w:pPr>
              <w:jc w:val="center"/>
              <w:rPr>
                <w:sz w:val="22"/>
                <w:szCs w:val="22"/>
              </w:rPr>
            </w:pPr>
            <w:r w:rsidRPr="003131ED">
              <w:rPr>
                <w:sz w:val="22"/>
                <w:szCs w:val="22"/>
              </w:rPr>
              <w:t>Goat</w:t>
            </w:r>
          </w:p>
        </w:tc>
        <w:tc>
          <w:tcPr>
            <w:tcW w:w="1376" w:type="dxa"/>
          </w:tcPr>
          <w:p w14:paraId="5F996B3E" w14:textId="77777777" w:rsidR="003C3AC3" w:rsidRPr="003131ED" w:rsidRDefault="003C3AC3" w:rsidP="002A1835">
            <w:pPr>
              <w:jc w:val="center"/>
              <w:rPr>
                <w:sz w:val="22"/>
                <w:szCs w:val="22"/>
              </w:rPr>
            </w:pPr>
            <w:r w:rsidRPr="003131ED">
              <w:rPr>
                <w:sz w:val="22"/>
                <w:szCs w:val="22"/>
              </w:rPr>
              <w:t>Polyclonal</w:t>
            </w:r>
          </w:p>
        </w:tc>
        <w:tc>
          <w:tcPr>
            <w:tcW w:w="1726" w:type="dxa"/>
          </w:tcPr>
          <w:p w14:paraId="1BB41426" w14:textId="77777777" w:rsidR="003C3AC3" w:rsidRPr="003131ED" w:rsidRDefault="003C3AC3" w:rsidP="002A1835">
            <w:pPr>
              <w:jc w:val="center"/>
              <w:rPr>
                <w:sz w:val="22"/>
                <w:szCs w:val="22"/>
              </w:rPr>
            </w:pPr>
            <w:r w:rsidRPr="003131ED">
              <w:rPr>
                <w:sz w:val="22"/>
                <w:szCs w:val="22"/>
              </w:rPr>
              <w:t>IHC – 1:200</w:t>
            </w:r>
          </w:p>
        </w:tc>
        <w:tc>
          <w:tcPr>
            <w:tcW w:w="2870" w:type="dxa"/>
          </w:tcPr>
          <w:p w14:paraId="6675BB7C" w14:textId="77777777" w:rsidR="003C3AC3" w:rsidRPr="003131ED" w:rsidRDefault="003C3AC3" w:rsidP="002A1835">
            <w:pPr>
              <w:jc w:val="center"/>
              <w:rPr>
                <w:sz w:val="22"/>
                <w:szCs w:val="22"/>
              </w:rPr>
            </w:pPr>
            <w:r w:rsidRPr="003131ED">
              <w:rPr>
                <w:sz w:val="22"/>
                <w:szCs w:val="22"/>
              </w:rPr>
              <w:t>RRID: AB_2336820</w:t>
            </w:r>
          </w:p>
          <w:p w14:paraId="4DA68167" w14:textId="77777777" w:rsidR="003C3AC3" w:rsidRPr="003131ED" w:rsidRDefault="003C3AC3" w:rsidP="002A1835">
            <w:pPr>
              <w:jc w:val="center"/>
              <w:rPr>
                <w:sz w:val="22"/>
                <w:szCs w:val="22"/>
              </w:rPr>
            </w:pPr>
            <w:r w:rsidRPr="003131ED">
              <w:rPr>
                <w:sz w:val="22"/>
                <w:szCs w:val="22"/>
              </w:rPr>
              <w:t>Vector Laboratories Cat# PK-6101</w:t>
            </w:r>
          </w:p>
        </w:tc>
      </w:tr>
    </w:tbl>
    <w:p w14:paraId="448042C8" w14:textId="77777777" w:rsidR="003C3AC3" w:rsidRPr="003131ED" w:rsidRDefault="003C3AC3" w:rsidP="00D0468C">
      <w:pPr>
        <w:spacing w:line="360" w:lineRule="auto"/>
        <w:jc w:val="both"/>
        <w:rPr>
          <w:rFonts w:eastAsia="Arial"/>
          <w:color w:val="FF0000"/>
          <w:sz w:val="22"/>
          <w:szCs w:val="22"/>
        </w:rPr>
      </w:pPr>
    </w:p>
    <w:p w14:paraId="0ADB178F" w14:textId="4AFC66C3" w:rsidR="00DE2545" w:rsidRPr="003131ED" w:rsidRDefault="00DE2545" w:rsidP="00D0468C">
      <w:pPr>
        <w:spacing w:line="360" w:lineRule="auto"/>
        <w:jc w:val="both"/>
        <w:rPr>
          <w:rFonts w:eastAsia="Arial"/>
          <w:b/>
          <w:sz w:val="22"/>
          <w:szCs w:val="22"/>
        </w:rPr>
      </w:pPr>
      <w:r w:rsidRPr="003131ED">
        <w:rPr>
          <w:rFonts w:eastAsia="Arial"/>
          <w:b/>
          <w:sz w:val="22"/>
          <w:szCs w:val="22"/>
        </w:rPr>
        <w:t>α-Synuclein pre-formed fibrils</w:t>
      </w:r>
    </w:p>
    <w:p w14:paraId="2052A65B" w14:textId="41845FC5" w:rsidR="00287846" w:rsidRPr="003131ED" w:rsidRDefault="00DE2545" w:rsidP="00D0468C">
      <w:pPr>
        <w:spacing w:line="360" w:lineRule="auto"/>
        <w:jc w:val="both"/>
        <w:rPr>
          <w:rFonts w:eastAsia="Arial"/>
          <w:sz w:val="22"/>
          <w:szCs w:val="22"/>
        </w:rPr>
      </w:pPr>
      <w:r w:rsidRPr="003131ED">
        <w:rPr>
          <w:rFonts w:eastAsia="Arial"/>
          <w:sz w:val="22"/>
          <w:szCs w:val="22"/>
        </w:rPr>
        <w:t>Purified α-synuclein monomers for PFF fibrilization was purchased from Proteos, Inc</w:t>
      </w:r>
      <w:r w:rsidR="0084346D" w:rsidRPr="003131ED">
        <w:rPr>
          <w:rFonts w:eastAsia="Arial"/>
          <w:sz w:val="22"/>
          <w:szCs w:val="22"/>
        </w:rPr>
        <w:t xml:space="preserve"> (Cat no: RP-003)</w:t>
      </w:r>
      <w:r w:rsidRPr="003131ED">
        <w:rPr>
          <w:rFonts w:eastAsia="Arial"/>
          <w:sz w:val="22"/>
          <w:szCs w:val="22"/>
        </w:rPr>
        <w:t xml:space="preserve"> and PFFs were formed according to </w:t>
      </w:r>
      <w:r w:rsidR="00A24E8F" w:rsidRPr="003131ED">
        <w:rPr>
          <w:rFonts w:eastAsia="Arial"/>
          <w:sz w:val="22"/>
          <w:szCs w:val="22"/>
        </w:rPr>
        <w:t xml:space="preserve">the </w:t>
      </w:r>
      <w:r w:rsidRPr="003131ED">
        <w:rPr>
          <w:rFonts w:eastAsia="Arial"/>
          <w:sz w:val="22"/>
          <w:szCs w:val="22"/>
        </w:rPr>
        <w:t xml:space="preserve">provided protocol. </w:t>
      </w:r>
      <w:r w:rsidR="00605777" w:rsidRPr="003131ED">
        <w:rPr>
          <w:rFonts w:eastAsia="Arial"/>
          <w:sz w:val="22"/>
          <w:szCs w:val="22"/>
        </w:rPr>
        <w:sym w:font="Symbol" w:char="F061"/>
      </w:r>
      <w:r w:rsidR="00605777" w:rsidRPr="003131ED">
        <w:rPr>
          <w:rFonts w:eastAsia="Arial"/>
          <w:sz w:val="22"/>
          <w:szCs w:val="22"/>
        </w:rPr>
        <w:t xml:space="preserve">-Synuclein protein products from Proteos, Inc. are made in partnership with the Michael J. Fox Foundation and protein quality is monitored by SDS-PAGE, HPLC-SEC, and LAL assays. </w:t>
      </w:r>
      <w:r w:rsidRPr="003131ED">
        <w:rPr>
          <w:rFonts w:eastAsia="Arial"/>
          <w:sz w:val="22"/>
          <w:szCs w:val="22"/>
        </w:rPr>
        <w:t>Briefly, monomer was diluted to 5mg/ml with final buffer composition of 100mM NaCl, 10mM Phosphate, pH 7.2-7.6 and constantly agitated at 600rpm, 37</w:t>
      </w:r>
      <w:r w:rsidRPr="003131ED">
        <w:rPr>
          <w:rFonts w:eastAsia="Arial"/>
          <w:sz w:val="22"/>
          <w:szCs w:val="22"/>
          <w:vertAlign w:val="superscript"/>
        </w:rPr>
        <w:t>o</w:t>
      </w:r>
      <w:r w:rsidRPr="003131ED">
        <w:rPr>
          <w:rFonts w:eastAsia="Arial"/>
          <w:sz w:val="22"/>
          <w:szCs w:val="22"/>
        </w:rPr>
        <w:t xml:space="preserve">C for 7 days. Fibril formation was confirmed using Thioflavin T </w:t>
      </w:r>
      <w:r w:rsidR="00E17461" w:rsidRPr="003131ED">
        <w:rPr>
          <w:rFonts w:eastAsia="Arial"/>
          <w:sz w:val="22"/>
          <w:szCs w:val="22"/>
        </w:rPr>
        <w:t xml:space="preserve">(Sigma; Cat no: T3516) </w:t>
      </w:r>
      <w:r w:rsidRPr="003131ED">
        <w:rPr>
          <w:rFonts w:eastAsia="Arial"/>
          <w:sz w:val="22"/>
          <w:szCs w:val="22"/>
        </w:rPr>
        <w:t>fluorescence assay and sedimentation followed by gel electrophoresis</w:t>
      </w:r>
      <w:r w:rsidR="00AD7430" w:rsidRPr="003131ED">
        <w:rPr>
          <w:rFonts w:eastAsia="Arial"/>
          <w:sz w:val="22"/>
          <w:szCs w:val="22"/>
        </w:rPr>
        <w:t xml:space="preserve"> </w:t>
      </w:r>
      <w:r w:rsidR="00764E0F" w:rsidRPr="003131ED">
        <w:rPr>
          <w:rFonts w:eastAsia="Arial"/>
          <w:sz w:val="22"/>
          <w:szCs w:val="22"/>
        </w:rPr>
        <w:t>(</w:t>
      </w:r>
      <w:r w:rsidR="00764E0F" w:rsidRPr="003131ED">
        <w:rPr>
          <w:rFonts w:eastAsia="Arial"/>
          <w:b/>
          <w:sz w:val="22"/>
          <w:szCs w:val="22"/>
        </w:rPr>
        <w:t xml:space="preserve">Supplemental </w:t>
      </w:r>
      <w:r w:rsidR="00AD7430" w:rsidRPr="003131ED">
        <w:rPr>
          <w:rFonts w:eastAsia="Arial"/>
          <w:b/>
          <w:sz w:val="22"/>
          <w:szCs w:val="22"/>
        </w:rPr>
        <w:t>Fig</w:t>
      </w:r>
      <w:r w:rsidR="00ED47D3" w:rsidRPr="003131ED">
        <w:rPr>
          <w:rFonts w:eastAsia="Arial"/>
          <w:b/>
          <w:sz w:val="22"/>
          <w:szCs w:val="22"/>
        </w:rPr>
        <w:t>.</w:t>
      </w:r>
      <w:r w:rsidR="00AD7430" w:rsidRPr="003131ED">
        <w:rPr>
          <w:rFonts w:eastAsia="Arial"/>
          <w:b/>
          <w:sz w:val="22"/>
          <w:szCs w:val="22"/>
        </w:rPr>
        <w:t xml:space="preserve"> </w:t>
      </w:r>
      <w:r w:rsidR="003C3AC3" w:rsidRPr="003131ED">
        <w:rPr>
          <w:rFonts w:eastAsia="Arial"/>
          <w:b/>
          <w:sz w:val="22"/>
          <w:szCs w:val="22"/>
        </w:rPr>
        <w:t>1</w:t>
      </w:r>
      <w:r w:rsidR="008E7EA0" w:rsidRPr="003131ED">
        <w:rPr>
          <w:rFonts w:eastAsia="Arial"/>
          <w:b/>
          <w:sz w:val="22"/>
          <w:szCs w:val="22"/>
        </w:rPr>
        <w:t>A, Supplemental Fig. 1B</w:t>
      </w:r>
      <w:r w:rsidR="00AD7430" w:rsidRPr="003131ED">
        <w:rPr>
          <w:rFonts w:eastAsia="Arial"/>
          <w:sz w:val="22"/>
          <w:szCs w:val="22"/>
        </w:rPr>
        <w:t>)</w:t>
      </w:r>
      <w:r w:rsidRPr="003131ED">
        <w:rPr>
          <w:rFonts w:eastAsia="Arial"/>
          <w:sz w:val="22"/>
          <w:szCs w:val="22"/>
        </w:rPr>
        <w:t xml:space="preserve">. Thioflavin T (final concentration 0.25uM dissolved in PBS) was added to α-synuclein monomer, α-synuclein PFF, and PBS only and incubated at room temperature for 15 minutes in a 96 well plate. Fluorescence was measured using </w:t>
      </w:r>
      <w:proofErr w:type="spellStart"/>
      <w:r w:rsidRPr="003131ED">
        <w:rPr>
          <w:rFonts w:eastAsia="Arial"/>
          <w:sz w:val="22"/>
          <w:szCs w:val="22"/>
        </w:rPr>
        <w:t>SpectraMax</w:t>
      </w:r>
      <w:proofErr w:type="spellEnd"/>
      <w:r w:rsidRPr="003131ED">
        <w:rPr>
          <w:rFonts w:eastAsia="Arial"/>
          <w:sz w:val="22"/>
          <w:szCs w:val="22"/>
        </w:rPr>
        <w:t xml:space="preserve"> Gemini EM plate reader (excitation 440nm, emission 482nm). Sedimentation was performed by centrifugation at 100,000xg for 30 min. Samples were loaded on 4-12% Bis-Tris gel (Life Technologies</w:t>
      </w:r>
      <w:r w:rsidR="00E17461" w:rsidRPr="003131ED">
        <w:rPr>
          <w:rFonts w:eastAsia="Arial"/>
          <w:sz w:val="22"/>
          <w:szCs w:val="22"/>
        </w:rPr>
        <w:t>; Cat no: NP0321BOX</w:t>
      </w:r>
      <w:r w:rsidRPr="003131ED">
        <w:rPr>
          <w:rFonts w:eastAsia="Arial"/>
          <w:sz w:val="22"/>
          <w:szCs w:val="22"/>
        </w:rPr>
        <w:t>) and ran at 200V for 25min. Gels were stained with coomassie blue</w:t>
      </w:r>
      <w:r w:rsidR="00E17461" w:rsidRPr="003131ED">
        <w:rPr>
          <w:rFonts w:eastAsia="Arial"/>
          <w:sz w:val="22"/>
          <w:szCs w:val="22"/>
        </w:rPr>
        <w:t xml:space="preserve"> (</w:t>
      </w:r>
      <w:proofErr w:type="spellStart"/>
      <w:r w:rsidR="00E17461" w:rsidRPr="003131ED">
        <w:rPr>
          <w:rFonts w:eastAsia="Arial"/>
          <w:sz w:val="22"/>
          <w:szCs w:val="22"/>
        </w:rPr>
        <w:t>BioRad</w:t>
      </w:r>
      <w:proofErr w:type="spellEnd"/>
      <w:r w:rsidR="00E17461" w:rsidRPr="003131ED">
        <w:rPr>
          <w:rFonts w:eastAsia="Arial"/>
          <w:sz w:val="22"/>
          <w:szCs w:val="22"/>
        </w:rPr>
        <w:t xml:space="preserve">; Cat no: </w:t>
      </w:r>
      <w:r w:rsidR="00DF74C0" w:rsidRPr="003131ED">
        <w:rPr>
          <w:rFonts w:eastAsia="Arial"/>
          <w:sz w:val="22"/>
          <w:szCs w:val="22"/>
        </w:rPr>
        <w:t>161-0436)</w:t>
      </w:r>
      <w:r w:rsidRPr="003131ED">
        <w:rPr>
          <w:rFonts w:eastAsia="Arial"/>
          <w:sz w:val="22"/>
          <w:szCs w:val="22"/>
        </w:rPr>
        <w:t>. α-Synuclein PFFs were aliquoted and stored in -80</w:t>
      </w:r>
      <w:r w:rsidRPr="003131ED">
        <w:rPr>
          <w:rFonts w:eastAsia="Arial"/>
          <w:sz w:val="22"/>
          <w:szCs w:val="22"/>
          <w:vertAlign w:val="superscript"/>
        </w:rPr>
        <w:t>o</w:t>
      </w:r>
      <w:r w:rsidRPr="003131ED">
        <w:rPr>
          <w:rFonts w:eastAsia="Arial"/>
          <w:sz w:val="22"/>
          <w:szCs w:val="22"/>
        </w:rPr>
        <w:t>C until use. For SH-SY5Y cell treatment with PFFs, cells were seeded in 6 well plates (~1x10</w:t>
      </w:r>
      <w:r w:rsidRPr="003131ED">
        <w:rPr>
          <w:rFonts w:eastAsia="Arial"/>
          <w:sz w:val="22"/>
          <w:szCs w:val="22"/>
          <w:vertAlign w:val="superscript"/>
        </w:rPr>
        <w:t>6</w:t>
      </w:r>
      <w:r w:rsidRPr="003131ED">
        <w:rPr>
          <w:rFonts w:eastAsia="Arial"/>
          <w:sz w:val="22"/>
          <w:szCs w:val="22"/>
        </w:rPr>
        <w:t xml:space="preserve"> cells/ well). Cells were seeded on coverslips for immunocytochemistry. α-Syn</w:t>
      </w:r>
      <w:r w:rsidR="00794171" w:rsidRPr="003131ED">
        <w:rPr>
          <w:rFonts w:eastAsia="Arial"/>
          <w:sz w:val="22"/>
          <w:szCs w:val="22"/>
        </w:rPr>
        <w:t>uclein</w:t>
      </w:r>
      <w:r w:rsidRPr="003131ED">
        <w:rPr>
          <w:rFonts w:eastAsia="Arial"/>
          <w:sz w:val="22"/>
          <w:szCs w:val="22"/>
        </w:rPr>
        <w:t xml:space="preserve"> PFFs were thawed at room temperature, diluted to 0.1mg/mL with sterile DPBS, and sonicated (1s pulses at 10% power for 5 minutes). Sonicated PFFs were diluted with cell culture media then added to 6 well or 96 well plates. </w:t>
      </w:r>
      <w:r w:rsidR="00D97EF6" w:rsidRPr="003131ED">
        <w:rPr>
          <w:rFonts w:eastAsia="Arial"/>
          <w:sz w:val="22"/>
          <w:szCs w:val="22"/>
        </w:rPr>
        <w:t xml:space="preserve">The sonication step is expected to produce a heterogeneous population of fibrils ranging in length from </w:t>
      </w:r>
      <w:r w:rsidR="00605777" w:rsidRPr="003131ED">
        <w:rPr>
          <w:rFonts w:eastAsia="Arial"/>
          <w:sz w:val="22"/>
          <w:szCs w:val="22"/>
        </w:rPr>
        <w:t xml:space="preserve">20 to 100nm </w:t>
      </w:r>
      <w:r w:rsidR="00605777" w:rsidRPr="003131ED">
        <w:rPr>
          <w:rFonts w:eastAsia="Arial"/>
          <w:sz w:val="22"/>
          <w:szCs w:val="22"/>
        </w:rPr>
        <w:fldChar w:fldCharType="begin" w:fldLock="1"/>
      </w:r>
      <w:r w:rsidR="00931B4F" w:rsidRPr="003131ED">
        <w:rPr>
          <w:rFonts w:eastAsia="Arial"/>
          <w:sz w:val="22"/>
          <w:szCs w:val="22"/>
        </w:rPr>
        <w:instrText>ADDIN CSL_CITATION {"citationItems":[{"id":"ITEM-1","itemData":{"DOI":"10.3791/59758","ISSN":"1940-087X","author":[{"dropping-particle":"","family":"Patterson","given":"Joseph R.","non-dropping-particle":"","parse-names":false,"suffix":""},{"dropping-particle":"","family":"Polinski","given":"Nicole K.","non-dropping-particle":"","parse-names":false,"suffix":""},{"dropping-particle":"","family":"Duffy","given":"Megan F.","non-dropping-particle":"","parse-names":false,"suffix":""},{"dropping-particle":"","family":"Kemp","given":"Christopher J.","non-dropping-particle":"","parse-names":false,"suffix":""},{"dropping-particle":"","family":"Luk","given":"Kelvin C.","non-dropping-particle":"","parse-names":false,"suffix":""},{"dropping-particle":"","family":"Volpicelli-Daley","given":"Laura A.","non-dropping-particle":"","parse-names":false,"suffix":""},{"dropping-particle":"","family":"Kanaan","given":"Nicholas M.","non-dropping-particle":"","parse-names":false,"suffix":""},{"dropping-particle":"","family":"Sortwell","given":"Caryl E.","non-dropping-particle":"","parse-names":false,"suffix":""}],"container-title":"Journal of Visualized Experiments","id":"ITEM-1","issue":"148","issued":{"date-parts":[["2019","6","2"]]},"title":"Generation of Alpha-Synuclein Preformed Fibrils from Monomers and Use In Vivo","type":"article-journal"},"uris":["http://www.mendeley.com/documents/?uuid=9fb3bf24-f02e-477d-b282-1d25dcec1734"]}],"mendeley":{"formattedCitation":"(Patterson &lt;i&gt;et al.&lt;/i&gt; 2019)","plainTextFormattedCitation":"(Patterson et al. 2019)","previouslyFormattedCitation":"(Patterson &lt;i&gt;et al.&lt;/i&gt; 2019)"},"properties":{"noteIndex":0},"schema":"https://github.com/citation-style-language/schema/raw/master/csl-citation.json"}</w:instrText>
      </w:r>
      <w:r w:rsidR="00605777" w:rsidRPr="003131ED">
        <w:rPr>
          <w:rFonts w:eastAsia="Arial"/>
          <w:sz w:val="22"/>
          <w:szCs w:val="22"/>
        </w:rPr>
        <w:fldChar w:fldCharType="separate"/>
      </w:r>
      <w:r w:rsidR="00605777" w:rsidRPr="003131ED">
        <w:rPr>
          <w:rFonts w:eastAsia="Arial"/>
          <w:noProof/>
          <w:sz w:val="22"/>
          <w:szCs w:val="22"/>
        </w:rPr>
        <w:t xml:space="preserve">(Patterson </w:t>
      </w:r>
      <w:r w:rsidR="00605777" w:rsidRPr="003131ED">
        <w:rPr>
          <w:rFonts w:eastAsia="Arial"/>
          <w:i/>
          <w:noProof/>
          <w:sz w:val="22"/>
          <w:szCs w:val="22"/>
        </w:rPr>
        <w:t>et al.</w:t>
      </w:r>
      <w:r w:rsidR="00605777" w:rsidRPr="003131ED">
        <w:rPr>
          <w:rFonts w:eastAsia="Arial"/>
          <w:noProof/>
          <w:sz w:val="22"/>
          <w:szCs w:val="22"/>
        </w:rPr>
        <w:t xml:space="preserve"> 2019)</w:t>
      </w:r>
      <w:r w:rsidR="00605777" w:rsidRPr="003131ED">
        <w:rPr>
          <w:rFonts w:eastAsia="Arial"/>
          <w:sz w:val="22"/>
          <w:szCs w:val="22"/>
        </w:rPr>
        <w:fldChar w:fldCharType="end"/>
      </w:r>
      <w:r w:rsidR="00605777" w:rsidRPr="003131ED">
        <w:rPr>
          <w:rFonts w:eastAsia="Arial"/>
          <w:sz w:val="22"/>
          <w:szCs w:val="22"/>
        </w:rPr>
        <w:t xml:space="preserve">. </w:t>
      </w:r>
    </w:p>
    <w:p w14:paraId="0BFCF113" w14:textId="77777777" w:rsidR="006D08C1" w:rsidRPr="003131ED" w:rsidRDefault="006D08C1" w:rsidP="00D0468C">
      <w:pPr>
        <w:spacing w:line="360" w:lineRule="auto"/>
        <w:jc w:val="both"/>
        <w:rPr>
          <w:rFonts w:eastAsia="Arial"/>
          <w:sz w:val="22"/>
          <w:szCs w:val="22"/>
        </w:rPr>
      </w:pPr>
    </w:p>
    <w:p w14:paraId="4FBD749F" w14:textId="1E579097" w:rsidR="00DE2545" w:rsidRPr="003131ED" w:rsidRDefault="00DE2545" w:rsidP="00D0468C">
      <w:pPr>
        <w:spacing w:line="360" w:lineRule="auto"/>
        <w:jc w:val="both"/>
        <w:rPr>
          <w:rFonts w:eastAsia="Arial"/>
          <w:b/>
          <w:sz w:val="22"/>
          <w:szCs w:val="22"/>
        </w:rPr>
      </w:pPr>
      <w:r w:rsidRPr="003131ED">
        <w:rPr>
          <w:rFonts w:eastAsia="Arial"/>
          <w:b/>
          <w:sz w:val="22"/>
          <w:szCs w:val="22"/>
        </w:rPr>
        <w:t>Immunocytochemistry and image analysis</w:t>
      </w:r>
    </w:p>
    <w:p w14:paraId="72EFCB6E" w14:textId="14990DC9" w:rsidR="00DE2545" w:rsidRPr="003131ED" w:rsidRDefault="00DE2545" w:rsidP="00D0468C">
      <w:pPr>
        <w:spacing w:line="360" w:lineRule="auto"/>
        <w:jc w:val="both"/>
        <w:rPr>
          <w:rFonts w:eastAsia="Arial"/>
          <w:sz w:val="22"/>
          <w:szCs w:val="22"/>
        </w:rPr>
      </w:pPr>
      <w:r w:rsidRPr="003131ED">
        <w:rPr>
          <w:rFonts w:eastAsia="Arial"/>
          <w:sz w:val="22"/>
          <w:szCs w:val="22"/>
        </w:rPr>
        <w:t xml:space="preserve">Cells were grown on coverslips and fixed with 4% paraformaldehyde (in PBS) for 10 min at room temperature. Fixed cells were washed 3 times with cold PBS then permeabilized with 0.1% Triton X-100 in PBS for 20 min. Coverslips were washed 3 times with PBST (PBS with 0.1% Tween 20) and blocked in 5% BSA in PBST for 1 hour at room temperature. Primary antibody </w:t>
      </w:r>
      <w:r w:rsidR="005E44E8" w:rsidRPr="003131ED">
        <w:rPr>
          <w:rFonts w:eastAsia="Arial"/>
          <w:sz w:val="22"/>
          <w:szCs w:val="22"/>
        </w:rPr>
        <w:t xml:space="preserve">(Novus </w:t>
      </w:r>
      <w:r w:rsidR="005E44E8" w:rsidRPr="003131ED">
        <w:rPr>
          <w:rFonts w:eastAsia="Arial"/>
          <w:color w:val="000000"/>
          <w:sz w:val="22"/>
          <w:szCs w:val="22"/>
        </w:rPr>
        <w:sym w:font="Symbol" w:char="F061"/>
      </w:r>
      <w:r w:rsidR="005E44E8" w:rsidRPr="003131ED">
        <w:rPr>
          <w:rFonts w:eastAsia="Arial"/>
          <w:color w:val="000000"/>
          <w:sz w:val="22"/>
          <w:szCs w:val="22"/>
        </w:rPr>
        <w:t xml:space="preserve">-Synuclein 2A7, Novus </w:t>
      </w:r>
      <w:r w:rsidR="005E44E8" w:rsidRPr="003131ED">
        <w:rPr>
          <w:rFonts w:eastAsia="Arial"/>
          <w:bCs/>
          <w:color w:val="000000"/>
          <w:sz w:val="22"/>
          <w:szCs w:val="22"/>
        </w:rPr>
        <w:t xml:space="preserve">LC3B) </w:t>
      </w:r>
      <w:r w:rsidRPr="003131ED">
        <w:rPr>
          <w:rFonts w:eastAsia="Arial"/>
          <w:sz w:val="22"/>
          <w:szCs w:val="22"/>
        </w:rPr>
        <w:t>incubation was overnight at 4</w:t>
      </w:r>
      <w:r w:rsidRPr="003131ED">
        <w:rPr>
          <w:rFonts w:eastAsia="Arial"/>
          <w:sz w:val="22"/>
          <w:szCs w:val="22"/>
          <w:vertAlign w:val="superscript"/>
        </w:rPr>
        <w:t>o</w:t>
      </w:r>
      <w:r w:rsidRPr="003131ED">
        <w:rPr>
          <w:rFonts w:eastAsia="Arial"/>
          <w:sz w:val="22"/>
          <w:szCs w:val="22"/>
        </w:rPr>
        <w:t>C</w:t>
      </w:r>
      <w:r w:rsidR="005E44E8" w:rsidRPr="003131ED">
        <w:rPr>
          <w:rFonts w:eastAsia="Arial"/>
          <w:sz w:val="22"/>
          <w:szCs w:val="22"/>
        </w:rPr>
        <w:t xml:space="preserve"> (</w:t>
      </w:r>
      <w:r w:rsidR="005E44E8" w:rsidRPr="003131ED">
        <w:rPr>
          <w:rFonts w:eastAsia="Arial"/>
          <w:b/>
          <w:sz w:val="22"/>
          <w:szCs w:val="22"/>
        </w:rPr>
        <w:t>Table 1</w:t>
      </w:r>
      <w:r w:rsidR="005E44E8" w:rsidRPr="003131ED">
        <w:rPr>
          <w:rFonts w:eastAsia="Arial"/>
          <w:sz w:val="22"/>
          <w:szCs w:val="22"/>
        </w:rPr>
        <w:t>)</w:t>
      </w:r>
      <w:r w:rsidRPr="003131ED">
        <w:rPr>
          <w:rFonts w:eastAsia="Arial"/>
          <w:sz w:val="22"/>
          <w:szCs w:val="22"/>
        </w:rPr>
        <w:t xml:space="preserve">. Thioflavin S </w:t>
      </w:r>
      <w:r w:rsidR="00F46D6D" w:rsidRPr="003131ED">
        <w:rPr>
          <w:rFonts w:eastAsia="Arial"/>
          <w:sz w:val="22"/>
          <w:szCs w:val="22"/>
        </w:rPr>
        <w:t xml:space="preserve">(Sigma; Cat no: T1892) </w:t>
      </w:r>
      <w:r w:rsidRPr="003131ED">
        <w:rPr>
          <w:rFonts w:eastAsia="Arial"/>
          <w:sz w:val="22"/>
          <w:szCs w:val="22"/>
        </w:rPr>
        <w:t xml:space="preserve">was dissolved in 1:1 ethanol/PBS solution. Coverslips were incubated in 0.025% ThS for 8 min and washed 3 times with 80% ethanol/PBS solution. Appropriate secondary antibodies </w:t>
      </w:r>
      <w:r w:rsidR="005E44E8" w:rsidRPr="003131ED">
        <w:rPr>
          <w:rFonts w:eastAsia="Arial"/>
          <w:sz w:val="22"/>
          <w:szCs w:val="22"/>
        </w:rPr>
        <w:t>(</w:t>
      </w:r>
      <w:r w:rsidR="005E44E8" w:rsidRPr="003131ED">
        <w:rPr>
          <w:rFonts w:eastAsia="Arial"/>
          <w:bCs/>
          <w:color w:val="000000"/>
          <w:sz w:val="22"/>
          <w:szCs w:val="22"/>
        </w:rPr>
        <w:t xml:space="preserve">Goat anti-rabbit IgG Alexa Fluor 488 secondary, Goat anti-mouse IgG Alexa Fluor 568 secondary) </w:t>
      </w:r>
      <w:r w:rsidRPr="003131ED">
        <w:rPr>
          <w:rFonts w:eastAsia="Arial"/>
          <w:sz w:val="22"/>
          <w:szCs w:val="22"/>
        </w:rPr>
        <w:t>were added for 1 hour at room temperature, then finally washed before being mounted on microscope slides with Vectashield antifade mounting medium with DAPI (</w:t>
      </w:r>
      <w:r w:rsidR="00F46D6D" w:rsidRPr="003131ED">
        <w:rPr>
          <w:rFonts w:eastAsia="Arial"/>
          <w:sz w:val="22"/>
          <w:szCs w:val="22"/>
        </w:rPr>
        <w:t xml:space="preserve">Cat no: </w:t>
      </w:r>
      <w:r w:rsidRPr="003131ED">
        <w:rPr>
          <w:rFonts w:eastAsia="Arial"/>
          <w:sz w:val="22"/>
          <w:szCs w:val="22"/>
        </w:rPr>
        <w:t xml:space="preserve">H-1200). LC3 images were taken with confocal microscope (Nikon Eclipse FN-1/C2+). </w:t>
      </w:r>
      <w:r w:rsidR="006D44C5" w:rsidRPr="004D26B0">
        <w:rPr>
          <w:rFonts w:eastAsia="Arial"/>
          <w:sz w:val="22"/>
          <w:szCs w:val="22"/>
        </w:rPr>
        <w:t>S</w:t>
      </w:r>
      <w:r w:rsidR="005D1A4B" w:rsidRPr="004D26B0">
        <w:rPr>
          <w:rFonts w:eastAsia="Arial"/>
          <w:sz w:val="22"/>
          <w:szCs w:val="22"/>
        </w:rPr>
        <w:t xml:space="preserve">lides were </w:t>
      </w:r>
      <w:r w:rsidR="004875EA" w:rsidRPr="004D26B0">
        <w:rPr>
          <w:rFonts w:eastAsia="Arial"/>
          <w:sz w:val="22"/>
          <w:szCs w:val="22"/>
        </w:rPr>
        <w:t xml:space="preserve">labeled </w:t>
      </w:r>
      <w:r w:rsidR="00584D6D" w:rsidRPr="004D26B0">
        <w:rPr>
          <w:rFonts w:eastAsia="Arial"/>
          <w:sz w:val="22"/>
          <w:szCs w:val="22"/>
        </w:rPr>
        <w:t xml:space="preserve">by numeric code </w:t>
      </w:r>
      <w:r w:rsidR="005D1A4B" w:rsidRPr="004D26B0">
        <w:rPr>
          <w:rFonts w:eastAsia="Arial"/>
          <w:sz w:val="22"/>
          <w:szCs w:val="22"/>
        </w:rPr>
        <w:t xml:space="preserve">for </w:t>
      </w:r>
      <w:r w:rsidR="004875EA" w:rsidRPr="004D26B0">
        <w:rPr>
          <w:rFonts w:eastAsia="Arial"/>
          <w:sz w:val="22"/>
          <w:szCs w:val="22"/>
        </w:rPr>
        <w:t xml:space="preserve">staining, </w:t>
      </w:r>
      <w:r w:rsidR="005D1A4B" w:rsidRPr="004D26B0">
        <w:rPr>
          <w:rFonts w:eastAsia="Arial"/>
          <w:sz w:val="22"/>
          <w:szCs w:val="22"/>
        </w:rPr>
        <w:t>image acquisition</w:t>
      </w:r>
      <w:r w:rsidR="004875EA" w:rsidRPr="004D26B0">
        <w:rPr>
          <w:rFonts w:eastAsia="Arial"/>
          <w:sz w:val="22"/>
          <w:szCs w:val="22"/>
        </w:rPr>
        <w:t>,</w:t>
      </w:r>
      <w:r w:rsidR="00103504" w:rsidRPr="004D26B0">
        <w:rPr>
          <w:rFonts w:eastAsia="Arial"/>
          <w:sz w:val="22"/>
          <w:szCs w:val="22"/>
        </w:rPr>
        <w:t xml:space="preserve"> and data analysis</w:t>
      </w:r>
      <w:r w:rsidR="004875EA" w:rsidRPr="004D26B0">
        <w:rPr>
          <w:rFonts w:eastAsia="Arial"/>
          <w:sz w:val="22"/>
          <w:szCs w:val="22"/>
        </w:rPr>
        <w:t xml:space="preserve"> to blind the experimenter</w:t>
      </w:r>
      <w:r w:rsidR="005D1A4B" w:rsidRPr="004D26B0">
        <w:rPr>
          <w:rFonts w:eastAsia="Arial"/>
          <w:sz w:val="22"/>
          <w:szCs w:val="22"/>
        </w:rPr>
        <w:t>.</w:t>
      </w:r>
      <w:r w:rsidR="005D1A4B" w:rsidRPr="003131ED">
        <w:rPr>
          <w:rFonts w:eastAsia="Arial"/>
          <w:sz w:val="22"/>
          <w:szCs w:val="22"/>
        </w:rPr>
        <w:t xml:space="preserve"> </w:t>
      </w:r>
      <w:r w:rsidRPr="003131ED">
        <w:rPr>
          <w:rFonts w:eastAsia="Arial"/>
          <w:sz w:val="22"/>
          <w:szCs w:val="22"/>
        </w:rPr>
        <w:sym w:font="Symbol" w:char="F061"/>
      </w:r>
      <w:r w:rsidRPr="003131ED">
        <w:rPr>
          <w:rFonts w:eastAsia="Arial"/>
          <w:sz w:val="22"/>
          <w:szCs w:val="22"/>
        </w:rPr>
        <w:t xml:space="preserve">-Synuclein and ThS fluorescence images were taken with Echo Revolve hybrid upright-inverted microscope. LC3-positive puncta/cell and fluorescence intensities were quantified using ImageJ version 1.52a </w:t>
      </w:r>
      <w:r w:rsidR="000A2D9E" w:rsidRPr="003131ED">
        <w:rPr>
          <w:rFonts w:eastAsia="Arial"/>
          <w:sz w:val="22"/>
          <w:szCs w:val="22"/>
        </w:rPr>
        <w:fldChar w:fldCharType="begin" w:fldLock="1"/>
      </w:r>
      <w:r w:rsidR="00D86B9A" w:rsidRPr="003131ED">
        <w:rPr>
          <w:rFonts w:eastAsia="Arial"/>
          <w:sz w:val="22"/>
          <w:szCs w:val="22"/>
        </w:rPr>
        <w:instrText>ADDIN CSL_CITATION {"citationItems":[{"id":"ITEM-1","itemData":{"DOI":"10.1016/S0076-6879(08)03201-1","ISBN":"9780123745477","ISSN":"00766879","abstract":"In this chapter, we introduce several methods that rely on the analysis of LC3, a versatile marker protein of autophagic structures in mammalian cultured cells. The appearance of LC3-positive puncta is indicative of the induction of autophagy, and it is observed either by immunofluorescence or by GFP-based microscopy. The maturation process by which autophagosomes are converted into autolysosomes can be monitored by the GFP and RFP tandemly tagged LC3 (tfLC3) method. Lysosomal turnover of LC3 is a good index of the proceeding of autophagy and can be assessed by Western blotting. These methods will provide a relatively easy assessment of autophagy, and the details of the procedure will be described along with possible pitfalls. © 2009 Elsevier Inc. All rights reserved.","author":[{"dropping-particle":"","family":"Kimura","given":"Shunsuke","non-dropping-particle":"","parse-names":false,"suffix":""},{"dropping-particle":"","family":"Fujita","given":"Naonobu","non-dropping-particle":"","parse-names":false,"suffix":""},{"dropping-particle":"","family":"Noda","given":"Takeshi","non-dropping-particle":"","parse-names":false,"suffix":""},{"dropping-particle":"","family":"Yoshimori","given":"Tamotsu","non-dropping-particle":"","parse-names":false,"suffix":""}],"container-title":"Methods in Enzymology","id":"ITEM-1","issued":{"date-parts":[["2009","1","1"]]},"page":"1-26","publisher":"Academic Press","title":"Monitoring autophagy in mammalian cultured cells through the dynamics of LC3","type":"chapter","volume":"452"},"uris":["http://www.mendeley.com/documents/?uuid=1f29daa5-d3d0-3728-980b-d406ca069240"]}],"mendeley":{"formattedCitation":"(Kimura &lt;i&gt;et al.&lt;/i&gt; 2009)","plainTextFormattedCitation":"(Kimura et al. 2009)","previouslyFormattedCitation":"(Kimura &lt;i&gt;et al.&lt;/i&gt; 2009)"},"properties":{"noteIndex":0},"schema":"https://github.com/citation-style-language/schema/raw/master/csl-citation.json"}</w:instrText>
      </w:r>
      <w:r w:rsidR="000A2D9E" w:rsidRPr="003131ED">
        <w:rPr>
          <w:rFonts w:eastAsia="Arial"/>
          <w:sz w:val="22"/>
          <w:szCs w:val="22"/>
        </w:rPr>
        <w:fldChar w:fldCharType="separate"/>
      </w:r>
      <w:r w:rsidR="00D86B9A" w:rsidRPr="003131ED">
        <w:rPr>
          <w:rFonts w:eastAsia="Arial"/>
          <w:noProof/>
          <w:sz w:val="22"/>
          <w:szCs w:val="22"/>
        </w:rPr>
        <w:t xml:space="preserve">(Kimura </w:t>
      </w:r>
      <w:r w:rsidR="00D86B9A" w:rsidRPr="003131ED">
        <w:rPr>
          <w:rFonts w:eastAsia="Arial"/>
          <w:i/>
          <w:noProof/>
          <w:sz w:val="22"/>
          <w:szCs w:val="22"/>
        </w:rPr>
        <w:t>et al.</w:t>
      </w:r>
      <w:r w:rsidR="00D86B9A" w:rsidRPr="003131ED">
        <w:rPr>
          <w:rFonts w:eastAsia="Arial"/>
          <w:noProof/>
          <w:sz w:val="22"/>
          <w:szCs w:val="22"/>
        </w:rPr>
        <w:t xml:space="preserve"> 2009)</w:t>
      </w:r>
      <w:r w:rsidR="000A2D9E" w:rsidRPr="003131ED">
        <w:rPr>
          <w:rFonts w:eastAsia="Arial"/>
          <w:sz w:val="22"/>
          <w:szCs w:val="22"/>
        </w:rPr>
        <w:fldChar w:fldCharType="end"/>
      </w:r>
      <w:r w:rsidR="006875EE" w:rsidRPr="003131ED">
        <w:rPr>
          <w:rFonts w:eastAsia="Arial"/>
          <w:sz w:val="22"/>
          <w:szCs w:val="22"/>
        </w:rPr>
        <w:t>.</w:t>
      </w:r>
      <w:r w:rsidR="008332F8" w:rsidRPr="003131ED">
        <w:rPr>
          <w:rFonts w:eastAsia="Arial"/>
          <w:sz w:val="22"/>
          <w:szCs w:val="22"/>
        </w:rPr>
        <w:t xml:space="preserve"> Corrected </w:t>
      </w:r>
      <w:r w:rsidR="008332F8" w:rsidRPr="003131ED">
        <w:rPr>
          <w:rFonts w:eastAsia="Arial"/>
          <w:sz w:val="22"/>
          <w:szCs w:val="22"/>
        </w:rPr>
        <w:lastRenderedPageBreak/>
        <w:t xml:space="preserve">total fluorescence (CTF) was calculated by using the formula: </w:t>
      </w:r>
      <w:r w:rsidR="004C0ACB" w:rsidRPr="003131ED">
        <w:rPr>
          <w:rFonts w:eastAsia="Arial"/>
          <w:sz w:val="22"/>
          <w:szCs w:val="22"/>
        </w:rPr>
        <w:t>[</w:t>
      </w:r>
      <w:r w:rsidR="008332F8" w:rsidRPr="003131ED">
        <w:rPr>
          <w:rFonts w:eastAsia="Arial"/>
          <w:sz w:val="22"/>
          <w:szCs w:val="22"/>
        </w:rPr>
        <w:t>integrated density – (selected area * mean fluorescence of background)</w:t>
      </w:r>
      <w:r w:rsidR="004C0ACB" w:rsidRPr="003131ED">
        <w:rPr>
          <w:rFonts w:eastAsia="Arial"/>
          <w:sz w:val="22"/>
          <w:szCs w:val="22"/>
        </w:rPr>
        <w:t xml:space="preserve">]/ number of cells in </w:t>
      </w:r>
      <w:r w:rsidR="002A1835" w:rsidRPr="003131ED">
        <w:rPr>
          <w:rFonts w:eastAsia="Arial"/>
          <w:sz w:val="22"/>
          <w:szCs w:val="22"/>
        </w:rPr>
        <w:t xml:space="preserve">the </w:t>
      </w:r>
      <w:r w:rsidR="004C0ACB" w:rsidRPr="003131ED">
        <w:rPr>
          <w:rFonts w:eastAsia="Arial"/>
          <w:sz w:val="22"/>
          <w:szCs w:val="22"/>
        </w:rPr>
        <w:t xml:space="preserve">selected area. </w:t>
      </w:r>
    </w:p>
    <w:p w14:paraId="745C25A8" w14:textId="77777777" w:rsidR="00DE2545" w:rsidRPr="003131ED" w:rsidRDefault="00DE2545" w:rsidP="00D0468C">
      <w:pPr>
        <w:spacing w:line="360" w:lineRule="auto"/>
        <w:jc w:val="both"/>
        <w:rPr>
          <w:rFonts w:eastAsia="Arial"/>
          <w:b/>
          <w:sz w:val="22"/>
          <w:szCs w:val="22"/>
        </w:rPr>
      </w:pPr>
    </w:p>
    <w:p w14:paraId="0E1D910D" w14:textId="57A7FACB" w:rsidR="00DE2545" w:rsidRPr="003131ED" w:rsidRDefault="008A20D9" w:rsidP="00D0468C">
      <w:pPr>
        <w:spacing w:line="360" w:lineRule="auto"/>
        <w:jc w:val="both"/>
        <w:rPr>
          <w:rFonts w:eastAsia="Arial"/>
          <w:b/>
          <w:sz w:val="22"/>
          <w:szCs w:val="22"/>
        </w:rPr>
      </w:pPr>
      <w:r w:rsidRPr="003131ED">
        <w:rPr>
          <w:rFonts w:eastAsia="Arial"/>
          <w:b/>
          <w:sz w:val="22"/>
          <w:szCs w:val="22"/>
        </w:rPr>
        <w:t xml:space="preserve">Autophagy, </w:t>
      </w:r>
      <w:r w:rsidR="00DE2545" w:rsidRPr="003131ED">
        <w:rPr>
          <w:rFonts w:eastAsia="Arial"/>
          <w:b/>
          <w:sz w:val="22"/>
          <w:szCs w:val="22"/>
        </w:rPr>
        <w:t>Cell viability</w:t>
      </w:r>
      <w:r w:rsidRPr="003131ED">
        <w:rPr>
          <w:rFonts w:eastAsia="Arial"/>
          <w:b/>
          <w:sz w:val="22"/>
          <w:szCs w:val="22"/>
        </w:rPr>
        <w:t>,</w:t>
      </w:r>
      <w:r w:rsidR="00DE2545" w:rsidRPr="003131ED">
        <w:rPr>
          <w:rFonts w:eastAsia="Arial"/>
          <w:b/>
          <w:sz w:val="22"/>
          <w:szCs w:val="22"/>
        </w:rPr>
        <w:t xml:space="preserve"> and apoptosis assays</w:t>
      </w:r>
    </w:p>
    <w:p w14:paraId="33462919" w14:textId="468C3D59" w:rsidR="00DE2545" w:rsidRPr="003131ED" w:rsidRDefault="008A20D9" w:rsidP="00D0468C">
      <w:pPr>
        <w:spacing w:line="360" w:lineRule="auto"/>
        <w:jc w:val="both"/>
        <w:rPr>
          <w:rFonts w:eastAsia="Arial"/>
          <w:sz w:val="22"/>
          <w:szCs w:val="22"/>
        </w:rPr>
      </w:pPr>
      <w:r w:rsidRPr="003131ED">
        <w:rPr>
          <w:rFonts w:eastAsia="Arial"/>
          <w:sz w:val="22"/>
          <w:szCs w:val="22"/>
        </w:rPr>
        <w:t>Autophagic flux was measured using LC3 western blot and immunofluorescent staining. Cells were treated with 100nM Baf</w:t>
      </w:r>
      <w:r w:rsidR="003D4C00" w:rsidRPr="003131ED">
        <w:rPr>
          <w:rFonts w:eastAsia="Arial"/>
          <w:sz w:val="22"/>
          <w:szCs w:val="22"/>
        </w:rPr>
        <w:t xml:space="preserve">ilomycin </w:t>
      </w:r>
      <w:r w:rsidRPr="003131ED">
        <w:rPr>
          <w:rFonts w:eastAsia="Arial"/>
          <w:sz w:val="22"/>
          <w:szCs w:val="22"/>
        </w:rPr>
        <w:t xml:space="preserve">A1 </w:t>
      </w:r>
      <w:r w:rsidR="003D4C00" w:rsidRPr="003131ED">
        <w:rPr>
          <w:rFonts w:eastAsia="Arial"/>
          <w:sz w:val="22"/>
          <w:szCs w:val="22"/>
        </w:rPr>
        <w:t>(Sigma;</w:t>
      </w:r>
      <w:r w:rsidR="00044150" w:rsidRPr="003131ED">
        <w:rPr>
          <w:rFonts w:eastAsia="Arial"/>
          <w:sz w:val="22"/>
          <w:szCs w:val="22"/>
        </w:rPr>
        <w:t xml:space="preserve"> </w:t>
      </w:r>
      <w:r w:rsidR="003D4C00" w:rsidRPr="003131ED">
        <w:rPr>
          <w:rFonts w:eastAsia="Arial"/>
          <w:sz w:val="22"/>
          <w:szCs w:val="22"/>
        </w:rPr>
        <w:t xml:space="preserve">B1703) </w:t>
      </w:r>
      <w:r w:rsidRPr="003131ED">
        <w:rPr>
          <w:rFonts w:eastAsia="Arial"/>
          <w:sz w:val="22"/>
          <w:szCs w:val="22"/>
        </w:rPr>
        <w:t>for 4hr or 50uM C</w:t>
      </w:r>
      <w:r w:rsidR="003D4C00" w:rsidRPr="003131ED">
        <w:rPr>
          <w:rFonts w:eastAsia="Arial"/>
          <w:sz w:val="22"/>
          <w:szCs w:val="22"/>
        </w:rPr>
        <w:t>hloroquine</w:t>
      </w:r>
      <w:r w:rsidRPr="003131ED">
        <w:rPr>
          <w:rFonts w:eastAsia="Arial"/>
          <w:sz w:val="22"/>
          <w:szCs w:val="22"/>
        </w:rPr>
        <w:t xml:space="preserve"> </w:t>
      </w:r>
      <w:r w:rsidR="003D4C00" w:rsidRPr="003131ED">
        <w:rPr>
          <w:rFonts w:eastAsia="Arial"/>
          <w:sz w:val="22"/>
          <w:szCs w:val="22"/>
        </w:rPr>
        <w:t xml:space="preserve">(Sigma; Cat no: C6628) </w:t>
      </w:r>
      <w:r w:rsidRPr="003131ED">
        <w:rPr>
          <w:rFonts w:eastAsia="Arial"/>
          <w:sz w:val="22"/>
          <w:szCs w:val="22"/>
        </w:rPr>
        <w:t>for 2.5 hrs</w:t>
      </w:r>
      <w:r w:rsidR="00BC7F6D" w:rsidRPr="003131ED">
        <w:rPr>
          <w:rFonts w:eastAsia="Arial"/>
          <w:sz w:val="22"/>
          <w:szCs w:val="22"/>
        </w:rPr>
        <w:t xml:space="preserve"> prior to lysis.</w:t>
      </w:r>
      <w:r w:rsidR="00247FD3" w:rsidRPr="003131ED">
        <w:rPr>
          <w:rFonts w:eastAsia="Arial"/>
          <w:sz w:val="22"/>
          <w:szCs w:val="22"/>
        </w:rPr>
        <w:t xml:space="preserve"> </w:t>
      </w:r>
      <w:r w:rsidR="00DE2545" w:rsidRPr="003131ED">
        <w:rPr>
          <w:rFonts w:eastAsia="Arial"/>
          <w:sz w:val="22"/>
          <w:szCs w:val="22"/>
        </w:rPr>
        <w:t>Cell viability was measured using ATP-based CellTiter-glo assay (Promega</w:t>
      </w:r>
      <w:r w:rsidR="00F71E12" w:rsidRPr="003131ED">
        <w:rPr>
          <w:rFonts w:eastAsia="Arial"/>
          <w:sz w:val="22"/>
          <w:szCs w:val="22"/>
        </w:rPr>
        <w:t>; Cat no: G7570</w:t>
      </w:r>
      <w:r w:rsidR="00DE2545" w:rsidRPr="003131ED">
        <w:rPr>
          <w:rFonts w:eastAsia="Arial"/>
          <w:sz w:val="22"/>
          <w:szCs w:val="22"/>
        </w:rPr>
        <w:t xml:space="preserve">) and 96 well plate was read with </w:t>
      </w:r>
      <w:proofErr w:type="spellStart"/>
      <w:r w:rsidR="00DE2545" w:rsidRPr="003131ED">
        <w:rPr>
          <w:rFonts w:eastAsia="Arial"/>
          <w:sz w:val="22"/>
          <w:szCs w:val="22"/>
        </w:rPr>
        <w:t>SpectraMax</w:t>
      </w:r>
      <w:proofErr w:type="spellEnd"/>
      <w:r w:rsidR="00DE2545" w:rsidRPr="003131ED">
        <w:rPr>
          <w:rFonts w:eastAsia="Arial"/>
          <w:sz w:val="22"/>
          <w:szCs w:val="22"/>
        </w:rPr>
        <w:t xml:space="preserve"> Gemini EM plate reader. Caspase 3/7 activity was measure</w:t>
      </w:r>
      <w:r w:rsidR="007776E7" w:rsidRPr="003131ED">
        <w:rPr>
          <w:rFonts w:eastAsia="Arial"/>
          <w:sz w:val="22"/>
          <w:szCs w:val="22"/>
        </w:rPr>
        <w:t>d</w:t>
      </w:r>
      <w:r w:rsidR="00DE2545" w:rsidRPr="003131ED">
        <w:rPr>
          <w:rFonts w:eastAsia="Arial"/>
          <w:sz w:val="22"/>
          <w:szCs w:val="22"/>
        </w:rPr>
        <w:t xml:space="preserve"> with Caspase-glo assay (Promega</w:t>
      </w:r>
      <w:r w:rsidR="00F71E12" w:rsidRPr="003131ED">
        <w:rPr>
          <w:rFonts w:eastAsia="Arial"/>
          <w:sz w:val="22"/>
          <w:szCs w:val="22"/>
        </w:rPr>
        <w:t>; Cat no: G8090</w:t>
      </w:r>
      <w:r w:rsidR="00DE2545" w:rsidRPr="003131ED">
        <w:rPr>
          <w:rFonts w:eastAsia="Arial"/>
          <w:sz w:val="22"/>
          <w:szCs w:val="22"/>
        </w:rPr>
        <w:t xml:space="preserve">). For Annexin V-FITC/ 7-AAD flow cytometry experiments, cells were treated seeded in 6 well plates and treated with 1.5uM </w:t>
      </w:r>
      <w:r w:rsidR="00DE2545" w:rsidRPr="003131ED">
        <w:rPr>
          <w:rFonts w:eastAsia="Arial"/>
          <w:sz w:val="22"/>
          <w:szCs w:val="22"/>
        </w:rPr>
        <w:sym w:font="Symbol" w:char="F061"/>
      </w:r>
      <w:r w:rsidR="00DE2545" w:rsidRPr="003131ED">
        <w:rPr>
          <w:rFonts w:eastAsia="Arial"/>
          <w:sz w:val="22"/>
          <w:szCs w:val="22"/>
        </w:rPr>
        <w:t>-synuclein monomer or 1.5uM monomer + 5uM PFF for 7 days. Cells were trypsinized, washed with PBS, and resuspended with Annexin binding buffer (</w:t>
      </w:r>
      <w:proofErr w:type="spellStart"/>
      <w:r w:rsidR="00DE2545" w:rsidRPr="003131ED">
        <w:rPr>
          <w:rFonts w:eastAsia="Arial"/>
          <w:sz w:val="22"/>
          <w:szCs w:val="22"/>
        </w:rPr>
        <w:t>BioLegend</w:t>
      </w:r>
      <w:proofErr w:type="spellEnd"/>
      <w:r w:rsidR="002C023A" w:rsidRPr="003131ED">
        <w:rPr>
          <w:rFonts w:eastAsia="Arial"/>
          <w:sz w:val="22"/>
          <w:szCs w:val="22"/>
        </w:rPr>
        <w:t>; Cat no: 422201</w:t>
      </w:r>
      <w:r w:rsidR="00DE2545" w:rsidRPr="003131ED">
        <w:rPr>
          <w:rFonts w:eastAsia="Arial"/>
          <w:sz w:val="22"/>
          <w:szCs w:val="22"/>
        </w:rPr>
        <w:t xml:space="preserve">). Samples were incubated with Annexin V-FITC </w:t>
      </w:r>
      <w:r w:rsidR="002C023A" w:rsidRPr="003131ED">
        <w:rPr>
          <w:rFonts w:eastAsia="Arial"/>
          <w:sz w:val="22"/>
          <w:szCs w:val="22"/>
        </w:rPr>
        <w:t>stain (</w:t>
      </w:r>
      <w:proofErr w:type="spellStart"/>
      <w:r w:rsidR="002C023A" w:rsidRPr="003131ED">
        <w:rPr>
          <w:rFonts w:eastAsia="Arial"/>
          <w:sz w:val="22"/>
          <w:szCs w:val="22"/>
        </w:rPr>
        <w:t>Biolegend</w:t>
      </w:r>
      <w:proofErr w:type="spellEnd"/>
      <w:r w:rsidR="002C023A" w:rsidRPr="003131ED">
        <w:rPr>
          <w:rFonts w:eastAsia="Arial"/>
          <w:sz w:val="22"/>
          <w:szCs w:val="22"/>
        </w:rPr>
        <w:t xml:space="preserve">; Cat no: 640905) </w:t>
      </w:r>
      <w:r w:rsidR="00DE2545" w:rsidRPr="003131ED">
        <w:rPr>
          <w:rFonts w:eastAsia="Arial"/>
          <w:sz w:val="22"/>
          <w:szCs w:val="22"/>
        </w:rPr>
        <w:t xml:space="preserve">for 15 min at room temperature. 5ul of 7-AAD </w:t>
      </w:r>
      <w:r w:rsidR="00A972CF" w:rsidRPr="003131ED">
        <w:rPr>
          <w:rFonts w:eastAsia="Arial"/>
          <w:sz w:val="22"/>
          <w:szCs w:val="22"/>
        </w:rPr>
        <w:t>(</w:t>
      </w:r>
      <w:proofErr w:type="spellStart"/>
      <w:r w:rsidR="00A972CF" w:rsidRPr="003131ED">
        <w:rPr>
          <w:rFonts w:eastAsia="Arial"/>
          <w:sz w:val="22"/>
          <w:szCs w:val="22"/>
        </w:rPr>
        <w:t>BioLegend</w:t>
      </w:r>
      <w:proofErr w:type="spellEnd"/>
      <w:r w:rsidR="00A972CF" w:rsidRPr="003131ED">
        <w:rPr>
          <w:rFonts w:eastAsia="Arial"/>
          <w:sz w:val="22"/>
          <w:szCs w:val="22"/>
        </w:rPr>
        <w:t xml:space="preserve">; Cat no: 420403) </w:t>
      </w:r>
      <w:r w:rsidR="00DE2545" w:rsidRPr="003131ED">
        <w:rPr>
          <w:rFonts w:eastAsia="Arial"/>
          <w:sz w:val="22"/>
          <w:szCs w:val="22"/>
        </w:rPr>
        <w:t xml:space="preserve">was added for each 500uL sample. 10-color BD </w:t>
      </w:r>
      <w:proofErr w:type="spellStart"/>
      <w:r w:rsidR="00DE2545" w:rsidRPr="003131ED">
        <w:rPr>
          <w:rFonts w:eastAsia="Arial"/>
          <w:sz w:val="22"/>
          <w:szCs w:val="22"/>
        </w:rPr>
        <w:t>FACSCanto</w:t>
      </w:r>
      <w:proofErr w:type="spellEnd"/>
      <w:r w:rsidR="00DE2545" w:rsidRPr="003131ED">
        <w:rPr>
          <w:rFonts w:eastAsia="Arial"/>
          <w:sz w:val="22"/>
          <w:szCs w:val="22"/>
        </w:rPr>
        <w:t xml:space="preserve"> (BD Biosciences) in Penn State College of Medicine’s Flow Cytometry Core was used to detect Annexin V-positive cells.</w:t>
      </w:r>
    </w:p>
    <w:p w14:paraId="4AEFDE62" w14:textId="6F333907" w:rsidR="00DD6767" w:rsidRPr="003131ED" w:rsidRDefault="00DD6767" w:rsidP="00D0468C">
      <w:pPr>
        <w:spacing w:line="360" w:lineRule="auto"/>
        <w:jc w:val="both"/>
        <w:rPr>
          <w:rFonts w:eastAsia="Arial"/>
          <w:sz w:val="22"/>
          <w:szCs w:val="22"/>
        </w:rPr>
      </w:pPr>
    </w:p>
    <w:p w14:paraId="1B1FC32C" w14:textId="66115FBA" w:rsidR="00DD6767" w:rsidRPr="003131ED" w:rsidRDefault="00ED7951" w:rsidP="00D0468C">
      <w:pPr>
        <w:spacing w:line="360" w:lineRule="auto"/>
        <w:jc w:val="both"/>
        <w:rPr>
          <w:rFonts w:eastAsia="Arial"/>
          <w:b/>
          <w:sz w:val="22"/>
          <w:szCs w:val="22"/>
        </w:rPr>
      </w:pPr>
      <w:proofErr w:type="spellStart"/>
      <w:r>
        <w:rPr>
          <w:rFonts w:eastAsia="Arial"/>
          <w:b/>
          <w:sz w:val="22"/>
          <w:szCs w:val="22"/>
        </w:rPr>
        <w:t>e</w:t>
      </w:r>
      <w:r w:rsidR="00DD6767" w:rsidRPr="003131ED">
        <w:rPr>
          <w:rFonts w:eastAsia="Arial"/>
          <w:b/>
          <w:sz w:val="22"/>
          <w:szCs w:val="22"/>
        </w:rPr>
        <w:t>siRNA</w:t>
      </w:r>
      <w:proofErr w:type="spellEnd"/>
      <w:r w:rsidR="00DD6767" w:rsidRPr="003131ED">
        <w:rPr>
          <w:rFonts w:eastAsia="Arial"/>
          <w:b/>
          <w:sz w:val="22"/>
          <w:szCs w:val="22"/>
        </w:rPr>
        <w:t xml:space="preserve"> knockdown</w:t>
      </w:r>
    </w:p>
    <w:p w14:paraId="6797798E" w14:textId="14060D25" w:rsidR="00134B82" w:rsidRDefault="006E1041" w:rsidP="00A96820">
      <w:pPr>
        <w:spacing w:line="360" w:lineRule="auto"/>
        <w:jc w:val="both"/>
        <w:rPr>
          <w:rFonts w:eastAsia="Arial"/>
          <w:sz w:val="22"/>
          <w:szCs w:val="22"/>
        </w:rPr>
      </w:pPr>
      <w:r w:rsidRPr="003131ED">
        <w:rPr>
          <w:sz w:val="22"/>
          <w:szCs w:val="22"/>
        </w:rPr>
        <w:t xml:space="preserve">WT and H63D </w:t>
      </w:r>
      <w:r w:rsidRPr="003131ED">
        <w:rPr>
          <w:i/>
          <w:sz w:val="22"/>
          <w:szCs w:val="22"/>
        </w:rPr>
        <w:t>HFE</w:t>
      </w:r>
      <w:r w:rsidRPr="003131ED">
        <w:rPr>
          <w:sz w:val="22"/>
          <w:szCs w:val="22"/>
        </w:rPr>
        <w:t xml:space="preserve"> SH-SY5Y cells were transfected with REDD1</w:t>
      </w:r>
      <w:r w:rsidR="00A96820" w:rsidRPr="003131ED">
        <w:rPr>
          <w:sz w:val="22"/>
          <w:szCs w:val="22"/>
        </w:rPr>
        <w:t xml:space="preserve"> </w:t>
      </w:r>
      <w:proofErr w:type="spellStart"/>
      <w:r w:rsidR="000D40C7" w:rsidRPr="003131ED">
        <w:rPr>
          <w:sz w:val="22"/>
          <w:szCs w:val="22"/>
        </w:rPr>
        <w:t>e</w:t>
      </w:r>
      <w:r w:rsidR="00A96820" w:rsidRPr="003131ED">
        <w:rPr>
          <w:sz w:val="22"/>
          <w:szCs w:val="22"/>
        </w:rPr>
        <w:t>siRNA</w:t>
      </w:r>
      <w:proofErr w:type="spellEnd"/>
      <w:r w:rsidR="00A96820" w:rsidRPr="003131ED">
        <w:rPr>
          <w:sz w:val="22"/>
          <w:szCs w:val="22"/>
        </w:rPr>
        <w:t xml:space="preserve"> (</w:t>
      </w:r>
      <w:r w:rsidR="000D40C7" w:rsidRPr="003131ED">
        <w:rPr>
          <w:sz w:val="22"/>
          <w:szCs w:val="22"/>
        </w:rPr>
        <w:t>Sigma; Cat no: EHU009051</w:t>
      </w:r>
      <w:r w:rsidR="00A96820" w:rsidRPr="003131ED">
        <w:rPr>
          <w:sz w:val="22"/>
          <w:szCs w:val="22"/>
        </w:rPr>
        <w:t xml:space="preserve">) </w:t>
      </w:r>
      <w:r w:rsidR="00BC5032" w:rsidRPr="003131ED">
        <w:rPr>
          <w:sz w:val="22"/>
          <w:szCs w:val="22"/>
        </w:rPr>
        <w:t>or</w:t>
      </w:r>
      <w:r w:rsidR="00A96820" w:rsidRPr="003131ED">
        <w:rPr>
          <w:sz w:val="22"/>
          <w:szCs w:val="22"/>
        </w:rPr>
        <w:t xml:space="preserve"> control EGFP </w:t>
      </w:r>
      <w:proofErr w:type="spellStart"/>
      <w:r w:rsidR="000D40C7" w:rsidRPr="003131ED">
        <w:rPr>
          <w:sz w:val="22"/>
          <w:szCs w:val="22"/>
        </w:rPr>
        <w:t>e</w:t>
      </w:r>
      <w:r w:rsidR="00A96820" w:rsidRPr="003131ED">
        <w:rPr>
          <w:sz w:val="22"/>
          <w:szCs w:val="22"/>
        </w:rPr>
        <w:t>siRNA</w:t>
      </w:r>
      <w:proofErr w:type="spellEnd"/>
      <w:r w:rsidR="00A96820" w:rsidRPr="003131ED">
        <w:rPr>
          <w:sz w:val="22"/>
          <w:szCs w:val="22"/>
        </w:rPr>
        <w:t xml:space="preserve"> (Sigma, </w:t>
      </w:r>
      <w:r w:rsidR="00753847" w:rsidRPr="003131ED">
        <w:rPr>
          <w:sz w:val="22"/>
          <w:szCs w:val="22"/>
        </w:rPr>
        <w:t xml:space="preserve">Cat no: </w:t>
      </w:r>
      <w:r w:rsidR="00A96820" w:rsidRPr="003131ED">
        <w:rPr>
          <w:sz w:val="22"/>
          <w:szCs w:val="22"/>
        </w:rPr>
        <w:t xml:space="preserve">EHUEGFP) </w:t>
      </w:r>
      <w:r w:rsidRPr="003131ED">
        <w:rPr>
          <w:sz w:val="22"/>
          <w:szCs w:val="22"/>
        </w:rPr>
        <w:t>using</w:t>
      </w:r>
      <w:r w:rsidR="00A96820" w:rsidRPr="003131ED">
        <w:rPr>
          <w:sz w:val="22"/>
          <w:szCs w:val="22"/>
        </w:rPr>
        <w:t xml:space="preserve"> Lipofectamine </w:t>
      </w:r>
      <w:proofErr w:type="spellStart"/>
      <w:r w:rsidR="00A96820" w:rsidRPr="003131ED">
        <w:rPr>
          <w:sz w:val="22"/>
          <w:szCs w:val="22"/>
        </w:rPr>
        <w:t>RNAiMAX</w:t>
      </w:r>
      <w:proofErr w:type="spellEnd"/>
      <w:r w:rsidR="00A96820" w:rsidRPr="003131ED">
        <w:rPr>
          <w:sz w:val="22"/>
          <w:szCs w:val="22"/>
        </w:rPr>
        <w:t xml:space="preserve"> (</w:t>
      </w:r>
      <w:proofErr w:type="spellStart"/>
      <w:r w:rsidR="00A96820" w:rsidRPr="003131ED">
        <w:rPr>
          <w:sz w:val="22"/>
          <w:szCs w:val="22"/>
        </w:rPr>
        <w:t>ThermoFisher</w:t>
      </w:r>
      <w:proofErr w:type="spellEnd"/>
      <w:r w:rsidR="00A96820" w:rsidRPr="003131ED">
        <w:rPr>
          <w:sz w:val="22"/>
          <w:szCs w:val="22"/>
        </w:rPr>
        <w:t xml:space="preserve">, </w:t>
      </w:r>
      <w:r w:rsidRPr="003131ED">
        <w:rPr>
          <w:sz w:val="22"/>
          <w:szCs w:val="22"/>
        </w:rPr>
        <w:t xml:space="preserve">Cat no: </w:t>
      </w:r>
      <w:r w:rsidR="00A96820" w:rsidRPr="003131ED">
        <w:rPr>
          <w:sz w:val="22"/>
          <w:szCs w:val="22"/>
        </w:rPr>
        <w:t>13778100).</w:t>
      </w:r>
      <w:r w:rsidR="00582EFB">
        <w:rPr>
          <w:sz w:val="22"/>
          <w:szCs w:val="22"/>
        </w:rPr>
        <w:t xml:space="preserve"> </w:t>
      </w:r>
      <w:proofErr w:type="spellStart"/>
      <w:r w:rsidR="00582EFB" w:rsidRPr="00193513">
        <w:rPr>
          <w:sz w:val="22"/>
          <w:szCs w:val="22"/>
          <w:highlight w:val="yellow"/>
        </w:rPr>
        <w:t>esiRNAs</w:t>
      </w:r>
      <w:proofErr w:type="spellEnd"/>
      <w:r w:rsidR="00582EFB" w:rsidRPr="00193513">
        <w:rPr>
          <w:sz w:val="22"/>
          <w:szCs w:val="22"/>
          <w:highlight w:val="yellow"/>
        </w:rPr>
        <w:t xml:space="preserve"> are a heterogenous mixture of siRNAs that target the same </w:t>
      </w:r>
      <w:r w:rsidR="00193513">
        <w:rPr>
          <w:sz w:val="22"/>
          <w:szCs w:val="22"/>
          <w:highlight w:val="yellow"/>
        </w:rPr>
        <w:t xml:space="preserve">cDNA </w:t>
      </w:r>
      <w:r w:rsidR="00582EFB" w:rsidRPr="00193513">
        <w:rPr>
          <w:sz w:val="22"/>
          <w:szCs w:val="22"/>
          <w:highlight w:val="yellow"/>
        </w:rPr>
        <w:t>sequence (</w:t>
      </w:r>
      <w:r w:rsidR="00582EFB" w:rsidRPr="00193513">
        <w:rPr>
          <w:b/>
          <w:sz w:val="22"/>
          <w:szCs w:val="22"/>
          <w:highlight w:val="yellow"/>
        </w:rPr>
        <w:t>Table 2</w:t>
      </w:r>
      <w:r w:rsidR="00582EFB" w:rsidRPr="00193513">
        <w:rPr>
          <w:sz w:val="22"/>
          <w:szCs w:val="22"/>
          <w:highlight w:val="yellow"/>
        </w:rPr>
        <w:t>)</w:t>
      </w:r>
      <w:r w:rsidR="00582EFB">
        <w:rPr>
          <w:sz w:val="22"/>
          <w:szCs w:val="22"/>
        </w:rPr>
        <w:t xml:space="preserve">. </w:t>
      </w:r>
      <w:r w:rsidR="00A96820" w:rsidRPr="003131ED">
        <w:rPr>
          <w:sz w:val="22"/>
          <w:szCs w:val="22"/>
        </w:rPr>
        <w:t>siRNAs and lipofectamine were diluted in Opti-MEM (</w:t>
      </w:r>
      <w:proofErr w:type="spellStart"/>
      <w:r w:rsidR="00A96820" w:rsidRPr="003131ED">
        <w:rPr>
          <w:sz w:val="22"/>
          <w:szCs w:val="22"/>
        </w:rPr>
        <w:t>ThermoFisher</w:t>
      </w:r>
      <w:proofErr w:type="spellEnd"/>
      <w:r w:rsidR="00A96820" w:rsidRPr="003131ED">
        <w:rPr>
          <w:sz w:val="22"/>
          <w:szCs w:val="22"/>
        </w:rPr>
        <w:t>,</w:t>
      </w:r>
      <w:r w:rsidR="00134B82" w:rsidRPr="003131ED">
        <w:rPr>
          <w:sz w:val="22"/>
          <w:szCs w:val="22"/>
        </w:rPr>
        <w:t xml:space="preserve"> Cat no: </w:t>
      </w:r>
      <w:r w:rsidR="00A96820" w:rsidRPr="003131ED">
        <w:rPr>
          <w:sz w:val="22"/>
          <w:szCs w:val="22"/>
        </w:rPr>
        <w:t xml:space="preserve">31985062). 250uL of 100nM </w:t>
      </w:r>
      <w:proofErr w:type="spellStart"/>
      <w:r w:rsidR="000D40C7" w:rsidRPr="003131ED">
        <w:rPr>
          <w:sz w:val="22"/>
          <w:szCs w:val="22"/>
        </w:rPr>
        <w:t>e</w:t>
      </w:r>
      <w:r w:rsidR="00A96820" w:rsidRPr="003131ED">
        <w:rPr>
          <w:sz w:val="22"/>
          <w:szCs w:val="22"/>
        </w:rPr>
        <w:t>siRNA</w:t>
      </w:r>
      <w:proofErr w:type="spellEnd"/>
      <w:r w:rsidR="00A96820" w:rsidRPr="003131ED">
        <w:rPr>
          <w:sz w:val="22"/>
          <w:szCs w:val="22"/>
        </w:rPr>
        <w:t xml:space="preserve"> in Opti-MEM + Lipofectamine solution was added to each well</w:t>
      </w:r>
      <w:r w:rsidR="000D40C7" w:rsidRPr="003131ED">
        <w:rPr>
          <w:sz w:val="22"/>
          <w:szCs w:val="22"/>
        </w:rPr>
        <w:t xml:space="preserve"> of a 6 well plate</w:t>
      </w:r>
      <w:r w:rsidR="00A96820" w:rsidRPr="003131ED">
        <w:rPr>
          <w:sz w:val="22"/>
          <w:szCs w:val="22"/>
        </w:rPr>
        <w:t xml:space="preserve">. 48 hours after treatment, cells were trypsinized and seeded for </w:t>
      </w:r>
      <w:r w:rsidR="00134B82" w:rsidRPr="003131ED">
        <w:rPr>
          <w:sz w:val="22"/>
          <w:szCs w:val="22"/>
        </w:rPr>
        <w:t xml:space="preserve">further experiments. </w:t>
      </w:r>
      <w:r w:rsidR="000D40C7" w:rsidRPr="003131ED">
        <w:rPr>
          <w:sz w:val="22"/>
          <w:szCs w:val="22"/>
        </w:rPr>
        <w:t xml:space="preserve">To assess autophagic flux, cells were treated with </w:t>
      </w:r>
      <w:r w:rsidR="0099059F" w:rsidRPr="003131ED">
        <w:rPr>
          <w:sz w:val="22"/>
          <w:szCs w:val="22"/>
        </w:rPr>
        <w:t xml:space="preserve">Bafilomycin A1 as described above and harvested for lysis. </w:t>
      </w:r>
      <w:r w:rsidR="006E59C9" w:rsidRPr="003131ED">
        <w:rPr>
          <w:sz w:val="22"/>
          <w:szCs w:val="22"/>
        </w:rPr>
        <w:t xml:space="preserve">For PFF toxicity experiments, </w:t>
      </w:r>
      <w:proofErr w:type="spellStart"/>
      <w:r w:rsidR="006E59C9" w:rsidRPr="003131ED">
        <w:rPr>
          <w:sz w:val="22"/>
          <w:szCs w:val="22"/>
        </w:rPr>
        <w:t>esiRNA</w:t>
      </w:r>
      <w:proofErr w:type="spellEnd"/>
      <w:r w:rsidR="006E59C9" w:rsidRPr="003131ED">
        <w:rPr>
          <w:sz w:val="22"/>
          <w:szCs w:val="22"/>
        </w:rPr>
        <w:t xml:space="preserve"> treated cells were exposed to </w:t>
      </w:r>
      <w:r w:rsidR="00FB4A56" w:rsidRPr="003131ED">
        <w:rPr>
          <w:rFonts w:eastAsia="Arial"/>
          <w:sz w:val="22"/>
          <w:szCs w:val="22"/>
        </w:rPr>
        <w:t xml:space="preserve">1.5uM </w:t>
      </w:r>
      <w:r w:rsidR="00FB4A56" w:rsidRPr="003131ED">
        <w:rPr>
          <w:rFonts w:eastAsia="Arial"/>
          <w:sz w:val="22"/>
          <w:szCs w:val="22"/>
        </w:rPr>
        <w:sym w:font="Symbol" w:char="F061"/>
      </w:r>
      <w:r w:rsidR="00FB4A56" w:rsidRPr="003131ED">
        <w:rPr>
          <w:rFonts w:eastAsia="Arial"/>
          <w:sz w:val="22"/>
          <w:szCs w:val="22"/>
        </w:rPr>
        <w:t xml:space="preserve">-synuclein monomer or 1.5uM monomer + 5uM PFF for 5 days. </w:t>
      </w:r>
      <w:r w:rsidR="00044150" w:rsidRPr="003131ED">
        <w:rPr>
          <w:rFonts w:eastAsia="Arial"/>
          <w:sz w:val="22"/>
          <w:szCs w:val="22"/>
        </w:rPr>
        <w:t>Cell viability was measured using an ATP-based CellTiter-glo assay (Promega; Cat no: G7570).</w:t>
      </w:r>
    </w:p>
    <w:p w14:paraId="0E3A5916" w14:textId="77777777" w:rsidR="00B465F1" w:rsidRPr="003131ED" w:rsidRDefault="00B465F1" w:rsidP="00A96820">
      <w:pPr>
        <w:spacing w:line="360" w:lineRule="auto"/>
        <w:jc w:val="both"/>
        <w:rPr>
          <w:sz w:val="22"/>
          <w:szCs w:val="22"/>
        </w:rPr>
      </w:pPr>
    </w:p>
    <w:p w14:paraId="1891B89D" w14:textId="3B3C3021" w:rsidR="00DE2545" w:rsidRDefault="00B465F1" w:rsidP="00D0468C">
      <w:pPr>
        <w:spacing w:line="360" w:lineRule="auto"/>
        <w:jc w:val="both"/>
        <w:rPr>
          <w:b/>
          <w:sz w:val="22"/>
          <w:szCs w:val="22"/>
        </w:rPr>
      </w:pPr>
      <w:r w:rsidRPr="004D51ED">
        <w:rPr>
          <w:b/>
          <w:sz w:val="22"/>
          <w:szCs w:val="22"/>
          <w:highlight w:val="yellow"/>
        </w:rPr>
        <w:t xml:space="preserve">Table 2. </w:t>
      </w:r>
      <w:proofErr w:type="spellStart"/>
      <w:r w:rsidRPr="004D51ED">
        <w:rPr>
          <w:b/>
          <w:sz w:val="22"/>
          <w:szCs w:val="22"/>
          <w:highlight w:val="yellow"/>
        </w:rPr>
        <w:t>esiRNA</w:t>
      </w:r>
      <w:proofErr w:type="spellEnd"/>
      <w:r w:rsidRPr="004D51ED">
        <w:rPr>
          <w:b/>
          <w:sz w:val="22"/>
          <w:szCs w:val="22"/>
          <w:highlight w:val="yellow"/>
        </w:rPr>
        <w:t xml:space="preserve"> target sequences</w:t>
      </w:r>
    </w:p>
    <w:tbl>
      <w:tblPr>
        <w:tblStyle w:val="TableGrid"/>
        <w:tblW w:w="0" w:type="auto"/>
        <w:tblLook w:val="04A0" w:firstRow="1" w:lastRow="0" w:firstColumn="1" w:lastColumn="0" w:noHBand="0" w:noVBand="1"/>
      </w:tblPr>
      <w:tblGrid>
        <w:gridCol w:w="1211"/>
        <w:gridCol w:w="7843"/>
      </w:tblGrid>
      <w:tr w:rsidR="00B465F1" w14:paraId="7C4C3698" w14:textId="77777777" w:rsidTr="00582EFB">
        <w:tc>
          <w:tcPr>
            <w:tcW w:w="1345" w:type="dxa"/>
          </w:tcPr>
          <w:p w14:paraId="5988D96B" w14:textId="63D3AAEA" w:rsidR="00582EFB" w:rsidRDefault="00582EFB" w:rsidP="00D0468C">
            <w:pPr>
              <w:spacing w:line="360" w:lineRule="auto"/>
              <w:jc w:val="both"/>
              <w:rPr>
                <w:b/>
                <w:sz w:val="22"/>
                <w:szCs w:val="22"/>
              </w:rPr>
            </w:pPr>
            <w:proofErr w:type="spellStart"/>
            <w:r>
              <w:rPr>
                <w:b/>
                <w:sz w:val="22"/>
                <w:szCs w:val="22"/>
              </w:rPr>
              <w:t>esiRNA</w:t>
            </w:r>
            <w:proofErr w:type="spellEnd"/>
          </w:p>
        </w:tc>
        <w:tc>
          <w:tcPr>
            <w:tcW w:w="7709" w:type="dxa"/>
          </w:tcPr>
          <w:p w14:paraId="7209C80B" w14:textId="345E1128" w:rsidR="00582EFB" w:rsidRDefault="00582EFB" w:rsidP="00D0468C">
            <w:pPr>
              <w:spacing w:line="360" w:lineRule="auto"/>
              <w:jc w:val="both"/>
              <w:rPr>
                <w:b/>
                <w:sz w:val="22"/>
                <w:szCs w:val="22"/>
              </w:rPr>
            </w:pPr>
            <w:r>
              <w:rPr>
                <w:b/>
                <w:sz w:val="22"/>
                <w:szCs w:val="22"/>
              </w:rPr>
              <w:t>Target Sequence</w:t>
            </w:r>
          </w:p>
        </w:tc>
      </w:tr>
      <w:tr w:rsidR="00B465F1" w14:paraId="29E7CA99" w14:textId="77777777" w:rsidTr="00582EFB">
        <w:tc>
          <w:tcPr>
            <w:tcW w:w="1345" w:type="dxa"/>
          </w:tcPr>
          <w:p w14:paraId="12D754F1" w14:textId="57136DD5" w:rsidR="00582EFB" w:rsidRDefault="00582EFB" w:rsidP="00D0468C">
            <w:pPr>
              <w:spacing w:line="360" w:lineRule="auto"/>
              <w:jc w:val="both"/>
              <w:rPr>
                <w:b/>
                <w:sz w:val="22"/>
                <w:szCs w:val="22"/>
              </w:rPr>
            </w:pPr>
            <w:r>
              <w:rPr>
                <w:b/>
                <w:sz w:val="22"/>
                <w:szCs w:val="22"/>
              </w:rPr>
              <w:t xml:space="preserve">EGFP </w:t>
            </w:r>
          </w:p>
        </w:tc>
        <w:tc>
          <w:tcPr>
            <w:tcW w:w="7709" w:type="dxa"/>
          </w:tcPr>
          <w:p w14:paraId="3A4C1EB0" w14:textId="77777777" w:rsidR="004858EC" w:rsidRDefault="00582EFB" w:rsidP="00D0468C">
            <w:pPr>
              <w:spacing w:line="360" w:lineRule="auto"/>
              <w:jc w:val="both"/>
              <w:rPr>
                <w:sz w:val="16"/>
                <w:szCs w:val="16"/>
              </w:rPr>
            </w:pPr>
            <w:r w:rsidRPr="004858EC">
              <w:rPr>
                <w:sz w:val="16"/>
                <w:szCs w:val="16"/>
              </w:rPr>
              <w:t>GTGAGCAAGGGCGAGGAGCTGTTCACCGGGGTGGTGCCCATCCTGGTCGAGCTGGACGGCGACGTAAA</w:t>
            </w:r>
          </w:p>
          <w:p w14:paraId="6B37F924" w14:textId="77777777" w:rsidR="004858EC" w:rsidRDefault="00582EFB" w:rsidP="00D0468C">
            <w:pPr>
              <w:spacing w:line="360" w:lineRule="auto"/>
              <w:jc w:val="both"/>
              <w:rPr>
                <w:sz w:val="16"/>
                <w:szCs w:val="16"/>
              </w:rPr>
            </w:pPr>
            <w:r w:rsidRPr="004858EC">
              <w:rPr>
                <w:sz w:val="16"/>
                <w:szCs w:val="16"/>
              </w:rPr>
              <w:t>CGGCCACAAGTTCAGCGTGTCCGGCGAGGGCGAGGGCGATGCCACCTACGGCAAGCTGACCCTGAAGT</w:t>
            </w:r>
          </w:p>
          <w:p w14:paraId="7EBF01D9" w14:textId="77777777" w:rsidR="004858EC" w:rsidRDefault="00582EFB" w:rsidP="00D0468C">
            <w:pPr>
              <w:spacing w:line="360" w:lineRule="auto"/>
              <w:jc w:val="both"/>
              <w:rPr>
                <w:sz w:val="16"/>
                <w:szCs w:val="16"/>
              </w:rPr>
            </w:pPr>
            <w:r w:rsidRPr="004858EC">
              <w:rPr>
                <w:sz w:val="16"/>
                <w:szCs w:val="16"/>
              </w:rPr>
              <w:t>TCATCTGCACCACCGGCAAGCTGCCCGTGCCCTGGCCCACCCTCGTGACCACCCTGACCTACGGCGTGC</w:t>
            </w:r>
          </w:p>
          <w:p w14:paraId="036957AE" w14:textId="77777777" w:rsidR="004858EC" w:rsidRDefault="00582EFB" w:rsidP="00D0468C">
            <w:pPr>
              <w:spacing w:line="360" w:lineRule="auto"/>
              <w:jc w:val="both"/>
              <w:rPr>
                <w:sz w:val="16"/>
                <w:szCs w:val="16"/>
              </w:rPr>
            </w:pPr>
            <w:r w:rsidRPr="004858EC">
              <w:rPr>
                <w:sz w:val="16"/>
                <w:szCs w:val="16"/>
              </w:rPr>
              <w:t>AGTGCTTCAGCCGCTACCCCGACCACATGAAGCAGCACGACTTCTTCAAGTCCGCCATGCCCGAAGGCT</w:t>
            </w:r>
          </w:p>
          <w:p w14:paraId="390CB19A" w14:textId="77777777" w:rsidR="004858EC" w:rsidRDefault="00582EFB" w:rsidP="00D0468C">
            <w:pPr>
              <w:spacing w:line="360" w:lineRule="auto"/>
              <w:jc w:val="both"/>
              <w:rPr>
                <w:sz w:val="16"/>
                <w:szCs w:val="16"/>
              </w:rPr>
            </w:pPr>
            <w:r w:rsidRPr="004858EC">
              <w:rPr>
                <w:sz w:val="16"/>
                <w:szCs w:val="16"/>
              </w:rPr>
              <w:t>ACGTCCAGGAGCGCACCATCTTCTTCAAGGACGACGGCAACTACAAGACCCGCGCCGAGGTGAAGTTCG</w:t>
            </w:r>
          </w:p>
          <w:p w14:paraId="53A832F1" w14:textId="77777777" w:rsidR="004858EC" w:rsidRDefault="00582EFB" w:rsidP="00D0468C">
            <w:pPr>
              <w:spacing w:line="360" w:lineRule="auto"/>
              <w:jc w:val="both"/>
              <w:rPr>
                <w:sz w:val="16"/>
                <w:szCs w:val="16"/>
              </w:rPr>
            </w:pPr>
            <w:r w:rsidRPr="004858EC">
              <w:rPr>
                <w:sz w:val="16"/>
                <w:szCs w:val="16"/>
              </w:rPr>
              <w:t>AGGGCGACACCCTGGTGAACCGCATCGAGCTGAAGGGCATCGACTTCAAGGAGGACGGCAACATCCTG</w:t>
            </w:r>
          </w:p>
          <w:p w14:paraId="3F4D9DEF" w14:textId="77777777" w:rsidR="004858EC" w:rsidRDefault="00582EFB" w:rsidP="00D0468C">
            <w:pPr>
              <w:spacing w:line="360" w:lineRule="auto"/>
              <w:jc w:val="both"/>
              <w:rPr>
                <w:sz w:val="16"/>
                <w:szCs w:val="16"/>
              </w:rPr>
            </w:pPr>
            <w:r w:rsidRPr="004858EC">
              <w:rPr>
                <w:sz w:val="16"/>
                <w:szCs w:val="16"/>
              </w:rPr>
              <w:t>GGGCACAAGCTGGAGTACAACTACAACAGCCACAACGTCTATATCATGGCCGACAAGCAGAAGAACGG</w:t>
            </w:r>
          </w:p>
          <w:p w14:paraId="0823256D" w14:textId="77777777" w:rsidR="004858EC" w:rsidRDefault="00582EFB" w:rsidP="00D0468C">
            <w:pPr>
              <w:spacing w:line="360" w:lineRule="auto"/>
              <w:jc w:val="both"/>
              <w:rPr>
                <w:sz w:val="16"/>
                <w:szCs w:val="16"/>
              </w:rPr>
            </w:pPr>
            <w:r w:rsidRPr="004858EC">
              <w:rPr>
                <w:sz w:val="16"/>
                <w:szCs w:val="16"/>
              </w:rPr>
              <w:lastRenderedPageBreak/>
              <w:t>CATCAAGGTGAACTTCAAGATCCGCCACAACATCGAGGACGGCAGCGTGCAGCTCGCCGACCACTACC</w:t>
            </w:r>
          </w:p>
          <w:p w14:paraId="6670AEB5" w14:textId="77777777" w:rsidR="004858EC" w:rsidRDefault="00582EFB" w:rsidP="00D0468C">
            <w:pPr>
              <w:spacing w:line="360" w:lineRule="auto"/>
              <w:jc w:val="both"/>
              <w:rPr>
                <w:sz w:val="16"/>
                <w:szCs w:val="16"/>
              </w:rPr>
            </w:pPr>
            <w:r w:rsidRPr="004858EC">
              <w:rPr>
                <w:sz w:val="16"/>
                <w:szCs w:val="16"/>
              </w:rPr>
              <w:t>AGCAGAACACCCCCATCGGCGACGGCCCCGTGCTGCTGCCCGACAACCACTACCTGAGCACCCAGTCCG</w:t>
            </w:r>
          </w:p>
          <w:p w14:paraId="6F17F6F1" w14:textId="77777777" w:rsidR="004858EC" w:rsidRDefault="00582EFB" w:rsidP="00D0468C">
            <w:pPr>
              <w:spacing w:line="360" w:lineRule="auto"/>
              <w:jc w:val="both"/>
              <w:rPr>
                <w:sz w:val="16"/>
                <w:szCs w:val="16"/>
              </w:rPr>
            </w:pPr>
            <w:r w:rsidRPr="004858EC">
              <w:rPr>
                <w:sz w:val="16"/>
                <w:szCs w:val="16"/>
              </w:rPr>
              <w:t>CCCTGAGCAAAGACCCCAACGAGAAGCGCGATCACATGGTCCTGCTGGAGTTCGTGACCGCCGCCGGGA</w:t>
            </w:r>
          </w:p>
          <w:p w14:paraId="69E24E6E" w14:textId="05697696" w:rsidR="00582EFB" w:rsidRPr="004858EC" w:rsidRDefault="00582EFB" w:rsidP="00D0468C">
            <w:pPr>
              <w:spacing w:line="360" w:lineRule="auto"/>
              <w:jc w:val="both"/>
              <w:rPr>
                <w:sz w:val="16"/>
                <w:szCs w:val="16"/>
              </w:rPr>
            </w:pPr>
            <w:r w:rsidRPr="004858EC">
              <w:rPr>
                <w:sz w:val="16"/>
                <w:szCs w:val="16"/>
              </w:rPr>
              <w:t>TCACTCTCGGCATGGACGAGCTGTA</w:t>
            </w:r>
          </w:p>
        </w:tc>
      </w:tr>
      <w:tr w:rsidR="00B465F1" w14:paraId="276781F1" w14:textId="77777777" w:rsidTr="00582EFB">
        <w:tc>
          <w:tcPr>
            <w:tcW w:w="1345" w:type="dxa"/>
          </w:tcPr>
          <w:p w14:paraId="3C5413FE" w14:textId="3586931F" w:rsidR="00582EFB" w:rsidRDefault="00B5031A" w:rsidP="00D0468C">
            <w:pPr>
              <w:spacing w:line="360" w:lineRule="auto"/>
              <w:jc w:val="both"/>
              <w:rPr>
                <w:b/>
                <w:sz w:val="22"/>
                <w:szCs w:val="22"/>
              </w:rPr>
            </w:pPr>
            <w:r>
              <w:rPr>
                <w:b/>
                <w:sz w:val="22"/>
                <w:szCs w:val="22"/>
              </w:rPr>
              <w:lastRenderedPageBreak/>
              <w:t>REDD1</w:t>
            </w:r>
          </w:p>
        </w:tc>
        <w:tc>
          <w:tcPr>
            <w:tcW w:w="7709" w:type="dxa"/>
          </w:tcPr>
          <w:p w14:paraId="5EF9A429" w14:textId="77777777" w:rsidR="004858EC" w:rsidRDefault="004858EC" w:rsidP="00D0468C">
            <w:pPr>
              <w:spacing w:line="360" w:lineRule="auto"/>
              <w:jc w:val="both"/>
              <w:rPr>
                <w:sz w:val="16"/>
                <w:szCs w:val="16"/>
              </w:rPr>
            </w:pPr>
            <w:r w:rsidRPr="004858EC">
              <w:rPr>
                <w:sz w:val="16"/>
                <w:szCs w:val="16"/>
              </w:rPr>
              <w:t>ACTACTGCGCCTGGCCTACAGCGAGCCGTGCGGCCTGCGGGGGGCGCTGCTGGACGTCTGCGTGGAGCA</w:t>
            </w:r>
          </w:p>
          <w:p w14:paraId="6326A93F" w14:textId="77777777" w:rsidR="004858EC" w:rsidRDefault="004858EC" w:rsidP="00D0468C">
            <w:pPr>
              <w:spacing w:line="360" w:lineRule="auto"/>
              <w:jc w:val="both"/>
              <w:rPr>
                <w:sz w:val="16"/>
                <w:szCs w:val="16"/>
              </w:rPr>
            </w:pPr>
            <w:r w:rsidRPr="004858EC">
              <w:rPr>
                <w:sz w:val="16"/>
                <w:szCs w:val="16"/>
              </w:rPr>
              <w:t>GGGCAAGAGCTGCCACAGCGTGGGCCAGCTGGCACTCGACCCCAGCCTGGTGCCCACCTTCCAGCTGAC</w:t>
            </w:r>
          </w:p>
          <w:p w14:paraId="64707BED" w14:textId="77777777" w:rsidR="004858EC" w:rsidRDefault="004858EC" w:rsidP="00D0468C">
            <w:pPr>
              <w:spacing w:line="360" w:lineRule="auto"/>
              <w:jc w:val="both"/>
              <w:rPr>
                <w:sz w:val="16"/>
                <w:szCs w:val="16"/>
              </w:rPr>
            </w:pPr>
            <w:r w:rsidRPr="004858EC">
              <w:rPr>
                <w:sz w:val="16"/>
                <w:szCs w:val="16"/>
              </w:rPr>
              <w:t>CCTCGTGCTGCGCCTGGACTCACGACTCTGGCCCAAGATCCAGGGGCTGTTTAGCTCCGCCAACTCTCCC</w:t>
            </w:r>
          </w:p>
          <w:p w14:paraId="4EEF8374" w14:textId="77777777" w:rsidR="004858EC" w:rsidRDefault="004858EC" w:rsidP="00D0468C">
            <w:pPr>
              <w:spacing w:line="360" w:lineRule="auto"/>
              <w:jc w:val="both"/>
              <w:rPr>
                <w:sz w:val="16"/>
                <w:szCs w:val="16"/>
              </w:rPr>
            </w:pPr>
            <w:r w:rsidRPr="004858EC">
              <w:rPr>
                <w:sz w:val="16"/>
                <w:szCs w:val="16"/>
              </w:rPr>
              <w:t>TTCCTCCCTGGCTTCAGCCAGTCCCTGACGCTGAGCACTGGCTTCCGAGTCATCAAGAAGAAGCTGTACA</w:t>
            </w:r>
          </w:p>
          <w:p w14:paraId="67525C87" w14:textId="77777777" w:rsidR="004858EC" w:rsidRDefault="004858EC" w:rsidP="00D0468C">
            <w:pPr>
              <w:spacing w:line="360" w:lineRule="auto"/>
              <w:jc w:val="both"/>
              <w:rPr>
                <w:sz w:val="16"/>
                <w:szCs w:val="16"/>
              </w:rPr>
            </w:pPr>
            <w:r w:rsidRPr="004858EC">
              <w:rPr>
                <w:sz w:val="16"/>
                <w:szCs w:val="16"/>
              </w:rPr>
              <w:t>GCTCGGAACAGCTGCTCATTGAGGAGTGTTGAACTTCAACCTGAGGGGGCCGACAGTGCCCTCCAAGAC</w:t>
            </w:r>
          </w:p>
          <w:p w14:paraId="7ED2FF21" w14:textId="77777777" w:rsidR="004858EC" w:rsidRDefault="004858EC" w:rsidP="00D0468C">
            <w:pPr>
              <w:spacing w:line="360" w:lineRule="auto"/>
              <w:jc w:val="both"/>
              <w:rPr>
                <w:sz w:val="16"/>
                <w:szCs w:val="16"/>
              </w:rPr>
            </w:pPr>
            <w:r w:rsidRPr="004858EC">
              <w:rPr>
                <w:sz w:val="16"/>
                <w:szCs w:val="16"/>
              </w:rPr>
              <w:t>AGAGACGACTGAACTTTTGGGGTGGAGACTAGAGGCAGGAGCTGAGGGACTGATTCCTGTGGTTGGAAA</w:t>
            </w:r>
          </w:p>
          <w:p w14:paraId="008FCAE6" w14:textId="2E228EF4" w:rsidR="00582EFB" w:rsidRPr="004858EC" w:rsidRDefault="004858EC" w:rsidP="00D0468C">
            <w:pPr>
              <w:spacing w:line="360" w:lineRule="auto"/>
              <w:jc w:val="both"/>
              <w:rPr>
                <w:sz w:val="16"/>
                <w:szCs w:val="16"/>
              </w:rPr>
            </w:pPr>
            <w:r w:rsidRPr="004858EC">
              <w:rPr>
                <w:sz w:val="16"/>
                <w:szCs w:val="16"/>
              </w:rPr>
              <w:t>ACTGAGGCAGCCACCTAA</w:t>
            </w:r>
          </w:p>
        </w:tc>
      </w:tr>
    </w:tbl>
    <w:p w14:paraId="18E79D9D" w14:textId="77777777" w:rsidR="00582EFB" w:rsidRDefault="00582EFB" w:rsidP="00F04E95">
      <w:pPr>
        <w:spacing w:line="360" w:lineRule="auto"/>
        <w:jc w:val="both"/>
        <w:rPr>
          <w:b/>
          <w:sz w:val="22"/>
          <w:szCs w:val="22"/>
        </w:rPr>
      </w:pPr>
    </w:p>
    <w:p w14:paraId="28C77C62" w14:textId="3EDBFF8D" w:rsidR="007865DF" w:rsidRPr="003131ED" w:rsidRDefault="0098704E" w:rsidP="00F04E95">
      <w:pPr>
        <w:spacing w:line="360" w:lineRule="auto"/>
        <w:jc w:val="both"/>
        <w:rPr>
          <w:b/>
          <w:sz w:val="22"/>
          <w:szCs w:val="22"/>
        </w:rPr>
      </w:pPr>
      <w:r w:rsidRPr="003131ED">
        <w:rPr>
          <w:b/>
          <w:sz w:val="22"/>
          <w:szCs w:val="22"/>
        </w:rPr>
        <w:t xml:space="preserve">Mouse </w:t>
      </w:r>
      <w:r w:rsidR="00E50EEC" w:rsidRPr="003131ED">
        <w:rPr>
          <w:b/>
          <w:sz w:val="22"/>
          <w:szCs w:val="22"/>
        </w:rPr>
        <w:sym w:font="Symbol" w:char="F061"/>
      </w:r>
      <w:r w:rsidR="00E50EEC" w:rsidRPr="003131ED">
        <w:rPr>
          <w:b/>
          <w:sz w:val="22"/>
          <w:szCs w:val="22"/>
        </w:rPr>
        <w:t>-synuclein PFF intracranial</w:t>
      </w:r>
      <w:r w:rsidR="00A16B94" w:rsidRPr="003131ED">
        <w:rPr>
          <w:b/>
          <w:sz w:val="22"/>
          <w:szCs w:val="22"/>
        </w:rPr>
        <w:t xml:space="preserve"> injections</w:t>
      </w:r>
    </w:p>
    <w:p w14:paraId="461A4572" w14:textId="6F47A9DE" w:rsidR="00EE5483" w:rsidRPr="003131ED" w:rsidRDefault="00103504" w:rsidP="00F04E95">
      <w:pPr>
        <w:spacing w:line="360" w:lineRule="auto"/>
        <w:jc w:val="both"/>
        <w:rPr>
          <w:sz w:val="22"/>
          <w:szCs w:val="22"/>
        </w:rPr>
      </w:pPr>
      <w:r w:rsidRPr="003131ED">
        <w:rPr>
          <w:sz w:val="22"/>
          <w:szCs w:val="22"/>
        </w:rPr>
        <w:t>Mouse PFFs were prepared using the same protocol as the human PFF</w:t>
      </w:r>
      <w:r w:rsidR="00C41746" w:rsidRPr="003131ED">
        <w:rPr>
          <w:sz w:val="22"/>
          <w:szCs w:val="22"/>
        </w:rPr>
        <w:t xml:space="preserve">s </w:t>
      </w:r>
      <w:r w:rsidRPr="003131ED">
        <w:rPr>
          <w:sz w:val="22"/>
          <w:szCs w:val="22"/>
        </w:rPr>
        <w:t>described above. After dilut</w:t>
      </w:r>
      <w:r w:rsidR="0083552D" w:rsidRPr="003131ED">
        <w:rPr>
          <w:sz w:val="22"/>
          <w:szCs w:val="22"/>
        </w:rPr>
        <w:t>ion</w:t>
      </w:r>
      <w:r w:rsidRPr="003131ED">
        <w:rPr>
          <w:sz w:val="22"/>
          <w:szCs w:val="22"/>
        </w:rPr>
        <w:t xml:space="preserve"> </w:t>
      </w:r>
      <w:r w:rsidR="0083552D" w:rsidRPr="003131ED">
        <w:rPr>
          <w:sz w:val="22"/>
          <w:szCs w:val="22"/>
        </w:rPr>
        <w:t xml:space="preserve">(to 2.5mg/ml) and sonication of </w:t>
      </w:r>
      <w:r w:rsidRPr="003131ED">
        <w:rPr>
          <w:sz w:val="22"/>
          <w:szCs w:val="22"/>
        </w:rPr>
        <w:t xml:space="preserve">the </w:t>
      </w:r>
      <w:r w:rsidR="0083552D" w:rsidRPr="003131ED">
        <w:rPr>
          <w:sz w:val="22"/>
          <w:szCs w:val="22"/>
        </w:rPr>
        <w:t>fibrils,</w:t>
      </w:r>
      <w:r w:rsidR="00C41746" w:rsidRPr="003131ED">
        <w:rPr>
          <w:sz w:val="22"/>
          <w:szCs w:val="22"/>
        </w:rPr>
        <w:t xml:space="preserve"> </w:t>
      </w:r>
      <w:r w:rsidR="0083552D" w:rsidRPr="003131ED">
        <w:rPr>
          <w:sz w:val="22"/>
          <w:szCs w:val="22"/>
        </w:rPr>
        <w:t>3</w:t>
      </w:r>
      <w:r w:rsidR="00C41746" w:rsidRPr="003131ED">
        <w:rPr>
          <w:sz w:val="22"/>
          <w:szCs w:val="22"/>
        </w:rPr>
        <w:t>-</w:t>
      </w:r>
      <w:r w:rsidR="0083552D" w:rsidRPr="003131ED">
        <w:rPr>
          <w:sz w:val="22"/>
          <w:szCs w:val="22"/>
        </w:rPr>
        <w:t>month</w:t>
      </w:r>
      <w:r w:rsidR="00C41746" w:rsidRPr="003131ED">
        <w:rPr>
          <w:sz w:val="22"/>
          <w:szCs w:val="22"/>
        </w:rPr>
        <w:t>-</w:t>
      </w:r>
      <w:r w:rsidR="0083552D" w:rsidRPr="003131ED">
        <w:rPr>
          <w:sz w:val="22"/>
          <w:szCs w:val="22"/>
        </w:rPr>
        <w:t xml:space="preserve">old </w:t>
      </w:r>
      <w:r w:rsidR="00C41746" w:rsidRPr="003131ED">
        <w:rPr>
          <w:sz w:val="22"/>
          <w:szCs w:val="22"/>
        </w:rPr>
        <w:t xml:space="preserve">C57Bl/6J x 129 male mice expressing wild-type or H67D </w:t>
      </w:r>
      <w:r w:rsidR="00C41746" w:rsidRPr="003131ED">
        <w:rPr>
          <w:i/>
          <w:sz w:val="22"/>
          <w:szCs w:val="22"/>
        </w:rPr>
        <w:t>Hfe</w:t>
      </w:r>
      <w:r w:rsidR="00C41746" w:rsidRPr="003131ED">
        <w:rPr>
          <w:sz w:val="22"/>
          <w:szCs w:val="22"/>
        </w:rPr>
        <w:t xml:space="preserve"> </w:t>
      </w:r>
      <w:r w:rsidR="00EE5483" w:rsidRPr="003131ED">
        <w:rPr>
          <w:sz w:val="22"/>
          <w:szCs w:val="22"/>
        </w:rPr>
        <w:t>(</w:t>
      </w:r>
      <w:r w:rsidR="00473FB9" w:rsidRPr="003131ED">
        <w:rPr>
          <w:sz w:val="22"/>
          <w:szCs w:val="22"/>
        </w:rPr>
        <w:t>RRID:IMSR_JAX:023025</w:t>
      </w:r>
      <w:r w:rsidR="00C41746" w:rsidRPr="003131ED">
        <w:rPr>
          <w:sz w:val="22"/>
          <w:szCs w:val="22"/>
        </w:rPr>
        <w:t xml:space="preserve">) were </w:t>
      </w:r>
      <w:r w:rsidR="003C765B" w:rsidRPr="003131ED">
        <w:rPr>
          <w:sz w:val="22"/>
          <w:szCs w:val="22"/>
        </w:rPr>
        <w:t>stereotactically</w:t>
      </w:r>
      <w:r w:rsidR="00C41746" w:rsidRPr="003131ED">
        <w:rPr>
          <w:sz w:val="22"/>
          <w:szCs w:val="22"/>
        </w:rPr>
        <w:t xml:space="preserve"> injected with the </w:t>
      </w:r>
      <w:r w:rsidR="003A087E" w:rsidRPr="003131ED">
        <w:rPr>
          <w:sz w:val="22"/>
          <w:szCs w:val="22"/>
        </w:rPr>
        <w:t xml:space="preserve">5ug </w:t>
      </w:r>
      <w:r w:rsidR="00C41746" w:rsidRPr="003131ED">
        <w:rPr>
          <w:sz w:val="22"/>
          <w:szCs w:val="22"/>
        </w:rPr>
        <w:t>PFF</w:t>
      </w:r>
      <w:r w:rsidR="003A087E" w:rsidRPr="003131ED">
        <w:rPr>
          <w:sz w:val="22"/>
          <w:szCs w:val="22"/>
        </w:rPr>
        <w:t xml:space="preserve"> </w:t>
      </w:r>
      <w:r w:rsidR="00EE5483" w:rsidRPr="003131ED">
        <w:rPr>
          <w:sz w:val="22"/>
          <w:szCs w:val="22"/>
        </w:rPr>
        <w:fldChar w:fldCharType="begin" w:fldLock="1"/>
      </w:r>
      <w:r w:rsidR="00931B4F" w:rsidRPr="003131ED">
        <w:rPr>
          <w:sz w:val="22"/>
          <w:szCs w:val="22"/>
        </w:rPr>
        <w:instrText>ADDIN CSL_CITATION {"citationItems":[{"id":"ITEM-1","itemData":{"DOI":"10.1016/j.bbadis.2013.02.009","ISSN":"09254439","PMID":"23429074","abstract":"Because of the increasing evidence that H63D HFE polymorphism appears in higher frequency in neurodegenerative diseases, we evaluated the neurological consequences of H63D HFE in vivo using mice that carry H67D HFE (homologous to human H63D). Although total brain iron concentration did not change significantly in the H67D mice, brain iron management proteins expressions were altered significantly. The 6-month-old H67D mice had increased HFE and H-ferritin expression. At 12 months, H67D mice had increased H- and L-ferritin but decreased transferrin expression suggesting increased iron storage and decreased iron mobilization. Increased L-ferritin positive microglia in H67D mice suggests that microglia increase iron storage to maintain brain iron homeostasis. The 6-month-old H67D mice had increased levels of GFAP, increased oxidatively modified protein levels, and increased cystine/glutamate antiporter (xCT) and hemeoxygenase-1 (HO-1) expression indicating increased metabolic and oxidative stress. By 12 months, there was no longer increased astrogliosis or oxidative stress. The decrease in oxidative stress at 12 months could be related to an adaptive response by nuclear factor E2-related factor 2 (Nrf2) that regulates antioxidant enzymes expression and is increased in the H67D mice. These findings demonstrate that the H63D HFE impacts brain iron homeostasis, and promotes an environment of oxidative stress and induction of adaptive mechanisms. These data, along with literature reports on humans with HFE mutations provide the evidence to overturn the traditional paradigm that the brain is protected from HFE mutations. The H67D knock-in mouse can be used as a model to evaluate how the H63D HFE mutation contributes to neurodegenerative diseases.","author":[{"dropping-particle":"","family":"Nandar","given":"Wint","non-dropping-particle":"","parse-names":false,"suffix":""},{"dropping-particle":"","family":"Neely","given":"Elizabeth B.","non-dropping-particle":"","parse-names":false,"suffix":""},{"dropping-particle":"","family":"Unger","given":"Erica","non-dropping-particle":"","parse-names":false,"suffix":""},{"dropping-particle":"","family":"Connor","given":"James R.","non-dropping-particle":"","parse-names":false,"suffix":""}],"container-title":"Biochimica et Biophysica Acta (BBA) - Molecular Basis of Disease","id":"ITEM-1","issue":"6","issued":{"date-parts":[["2013","6"]]},"page":"729-741","title":"A mutation in the HFE gene is associated with altered brain iron profiles and increased oxidative stress in mice","type":"article-journal","volume":"1832"},"uris":["http://www.mendeley.com/documents/?uuid=364191a3-157f-3455-b064-9101e7d40246"]},{"id":"ITEM-2","itemData":{"DOI":"10.1073/pnas.0908005106","ISSN":"00278424","PMID":"19892735","abstract":"Cytoplasmic inclusions containing alpha-synuclein (alpha-Syn) fibrils, referred to as Lewy bodies (LBs), are the signature neuropathological hallmarks of Parkinson's disease (PD). Although alpha-Syn fibrils can be generated from recombinant alpha-Syn protein in vitro, the production of fibrillar alpha-Syn inclusions similar to authentic LBs in cultured cells has not been achieved. We show here that intracellular alpha-Syn aggregation can be triggered by the introduction of exogenously produced recombinant alpha-Syn fibrils into cultured cells engineered to overexpress alpha-Syn. Unlike unassembled alpha-Syn, these alpha-Syn fibrils \"seeded\" recruitment of endogenous soluble alpha-Syn protein and their conversion into insoluble, hyperphosphorylated, and ubiquitinated pathological species. Thus, this cell model recapitulates key features of LBs in human PD brains. Also, these findings support the concept that intracellular alpha-Syn aggregation is normally limited by the number of active nucleation sites present in the cytoplasm and that small quantities of alpha-Syn fibrils can alter this balance by acting as seeds for aggregation.","author":[{"dropping-particle":"","family":"Luk","given":"Kelvin C.","non-dropping-particle":"","parse-names":false,"suffix":""},{"dropping-particle":"","family":"Song","given":"Cheng","non-dropping-particle":"","parse-names":false,"suffix":""},{"dropping-particle":"","family":"O'Brien","given":"Patrick","non-dropping-particle":"","parse-names":false,"suffix":""},{"dropping-particle":"","family":"Stieber","given":"Anna","non-dropping-particle":"","parse-names":false,"suffix":""},{"dropping-particle":"","family":"Branch","given":"Jonathan R.","non-dropping-particle":"","parse-names":false,"suffix":""},{"dropping-particle":"","family":"Brunden","given":"Kurt R.","non-dropping-particle":"","parse-names":false,"suffix":""},{"dropping-particle":"","family":"Trojanowski","given":"John Q.","non-dropping-particle":"","parse-names":false,"suffix":""},{"dropping-particle":"","family":"Lee","given":"Virginia M.-Y.","non-dropping-particle":"","parse-names":false,"suffix":""}],"container-title":"Proceedings of the National Academy of Sciences of the United States of America","id":"ITEM-2","issue":"47","issued":{"date-parts":[["2009","11","24"]]},"page":"20051-20056","title":"Exogenous α-synuclein fibrils seed the formation of Lewy body-like intracellular inclusions in cultured cells","type":"article-journal","volume":"106"},"uris":["http://www.mendeley.com/documents/?uuid=a4e60ae6-7a6e-3a53-ba5b-e186e69de84a"]}],"mendeley":{"formattedCitation":"(Nandar &lt;i&gt;et al.&lt;/i&gt; 2013; Luk &lt;i&gt;et al.&lt;/i&gt; 2009)","plainTextFormattedCitation":"(Nandar et al. 2013; Luk et al. 2009)","previouslyFormattedCitation":"(Nandar &lt;i&gt;et al.&lt;/i&gt; 2013; Luk &lt;i&gt;et al.&lt;/i&gt; 2009)"},"properties":{"noteIndex":0},"schema":"https://github.com/citation-style-language/schema/raw/master/csl-citation.json"}</w:instrText>
      </w:r>
      <w:r w:rsidR="00EE5483" w:rsidRPr="003131ED">
        <w:rPr>
          <w:sz w:val="22"/>
          <w:szCs w:val="22"/>
        </w:rPr>
        <w:fldChar w:fldCharType="separate"/>
      </w:r>
      <w:r w:rsidR="00931B4F" w:rsidRPr="003131ED">
        <w:rPr>
          <w:noProof/>
          <w:sz w:val="22"/>
          <w:szCs w:val="22"/>
        </w:rPr>
        <w:t xml:space="preserve">(Nandar </w:t>
      </w:r>
      <w:r w:rsidR="00931B4F" w:rsidRPr="003131ED">
        <w:rPr>
          <w:i/>
          <w:noProof/>
          <w:sz w:val="22"/>
          <w:szCs w:val="22"/>
        </w:rPr>
        <w:t>et al.</w:t>
      </w:r>
      <w:r w:rsidR="00931B4F" w:rsidRPr="003131ED">
        <w:rPr>
          <w:noProof/>
          <w:sz w:val="22"/>
          <w:szCs w:val="22"/>
        </w:rPr>
        <w:t xml:space="preserve"> 2013; Luk </w:t>
      </w:r>
      <w:r w:rsidR="00931B4F" w:rsidRPr="003131ED">
        <w:rPr>
          <w:i/>
          <w:noProof/>
          <w:sz w:val="22"/>
          <w:szCs w:val="22"/>
        </w:rPr>
        <w:t>et al.</w:t>
      </w:r>
      <w:r w:rsidR="00931B4F" w:rsidRPr="003131ED">
        <w:rPr>
          <w:noProof/>
          <w:sz w:val="22"/>
          <w:szCs w:val="22"/>
        </w:rPr>
        <w:t xml:space="preserve"> 2009)</w:t>
      </w:r>
      <w:r w:rsidR="00EE5483" w:rsidRPr="003131ED">
        <w:rPr>
          <w:sz w:val="22"/>
          <w:szCs w:val="22"/>
        </w:rPr>
        <w:fldChar w:fldCharType="end"/>
      </w:r>
      <w:r w:rsidR="00C41746" w:rsidRPr="003131ED">
        <w:rPr>
          <w:sz w:val="22"/>
          <w:szCs w:val="22"/>
        </w:rPr>
        <w:t xml:space="preserve">. </w:t>
      </w:r>
      <w:r w:rsidR="00475DCF" w:rsidRPr="003131ED">
        <w:rPr>
          <w:sz w:val="22"/>
          <w:szCs w:val="22"/>
        </w:rPr>
        <w:t xml:space="preserve">H67D </w:t>
      </w:r>
      <w:r w:rsidR="00475DCF" w:rsidRPr="003131ED">
        <w:rPr>
          <w:i/>
          <w:sz w:val="22"/>
          <w:szCs w:val="22"/>
        </w:rPr>
        <w:t>Hfe</w:t>
      </w:r>
      <w:r w:rsidR="00475DCF" w:rsidRPr="003131ED">
        <w:rPr>
          <w:sz w:val="22"/>
          <w:szCs w:val="22"/>
        </w:rPr>
        <w:t xml:space="preserve"> </w:t>
      </w:r>
      <w:r w:rsidR="005B0438" w:rsidRPr="003131ED">
        <w:rPr>
          <w:sz w:val="22"/>
          <w:szCs w:val="22"/>
        </w:rPr>
        <w:t xml:space="preserve">is the mouse homolog to the human H63D </w:t>
      </w:r>
      <w:r w:rsidR="005B0438" w:rsidRPr="003131ED">
        <w:rPr>
          <w:i/>
          <w:sz w:val="22"/>
          <w:szCs w:val="22"/>
        </w:rPr>
        <w:t>HFE</w:t>
      </w:r>
      <w:r w:rsidR="005B0438" w:rsidRPr="003131ED">
        <w:rPr>
          <w:sz w:val="22"/>
          <w:szCs w:val="22"/>
        </w:rPr>
        <w:t xml:space="preserve"> variant. </w:t>
      </w:r>
      <w:r w:rsidR="00931B4F" w:rsidRPr="003131ED">
        <w:rPr>
          <w:sz w:val="22"/>
          <w:szCs w:val="22"/>
        </w:rPr>
        <w:t xml:space="preserve">H67D is a 199C to G point mutation in exon 2 of mouse </w:t>
      </w:r>
      <w:r w:rsidR="00931B4F" w:rsidRPr="003131ED">
        <w:rPr>
          <w:i/>
          <w:sz w:val="22"/>
          <w:szCs w:val="22"/>
        </w:rPr>
        <w:t>Hfe</w:t>
      </w:r>
      <w:r w:rsidR="00931B4F" w:rsidRPr="003131ED">
        <w:rPr>
          <w:sz w:val="22"/>
          <w:szCs w:val="22"/>
        </w:rPr>
        <w:t xml:space="preserve"> and mice expressing H67D </w:t>
      </w:r>
      <w:r w:rsidR="00931B4F" w:rsidRPr="003131ED">
        <w:rPr>
          <w:i/>
          <w:sz w:val="22"/>
          <w:szCs w:val="22"/>
        </w:rPr>
        <w:t>Hfe</w:t>
      </w:r>
      <w:r w:rsidR="00931B4F" w:rsidRPr="003131ED">
        <w:rPr>
          <w:sz w:val="22"/>
          <w:szCs w:val="22"/>
        </w:rPr>
        <w:t xml:space="preserve"> have been shown to have increased hepatic iron loading and altered brain iron profiles </w:t>
      </w:r>
      <w:r w:rsidR="00931B4F" w:rsidRPr="003131ED">
        <w:rPr>
          <w:sz w:val="22"/>
          <w:szCs w:val="22"/>
        </w:rPr>
        <w:fldChar w:fldCharType="begin" w:fldLock="1"/>
      </w:r>
      <w:r w:rsidR="00931B4F" w:rsidRPr="003131ED">
        <w:rPr>
          <w:sz w:val="22"/>
          <w:szCs w:val="22"/>
        </w:rPr>
        <w:instrText>ADDIN CSL_CITATION {"citationItems":[{"id":"ITEM-1","itemData":{"DOI":"10.1016/j.bbadis.2013.02.009","ISSN":"09254439","PMID":"23429074","abstract":"Because of the increasing evidence that H63D HFE polymorphism appears in higher frequency in neurodegenerative diseases, we evaluated the neurological consequences of H63D HFE in vivo using mice that carry H67D HFE (homologous to human H63D). Although total brain iron concentration did not change significantly in the H67D mice, brain iron management proteins expressions were altered significantly. The 6-month-old H67D mice had increased HFE and H-ferritin expression. At 12 months, H67D mice had increased H- and L-ferritin but decreased transferrin expression suggesting increased iron storage and decreased iron mobilization. Increased L-ferritin positive microglia in H67D mice suggests that microglia increase iron storage to maintain brain iron homeostasis. The 6-month-old H67D mice had increased levels of GFAP, increased oxidatively modified protein levels, and increased cystine/glutamate antiporter (xCT) and hemeoxygenase-1 (HO-1) expression indicating increased metabolic and oxidative stress. By 12 months, there was no longer increased astrogliosis or oxidative stress. The decrease in oxidative stress at 12 months could be related to an adaptive response by nuclear factor E2-related factor 2 (Nrf2) that regulates antioxidant enzymes expression and is increased in the H67D mice. These findings demonstrate that the H63D HFE impacts brain iron homeostasis, and promotes an environment of oxidative stress and induction of adaptive mechanisms. These data, along with literature reports on humans with HFE mutations provide the evidence to overturn the traditional paradigm that the brain is protected from HFE mutations. The H67D knock-in mouse can be used as a model to evaluate how the H63D HFE mutation contributes to neurodegenerative diseases.","author":[{"dropping-particle":"","family":"Nandar","given":"Wint","non-dropping-particle":"","parse-names":false,"suffix":""},{"dropping-particle":"","family":"Neely","given":"Elizabeth B.","non-dropping-particle":"","parse-names":false,"suffix":""},{"dropping-particle":"","family":"Unger","given":"Erica","non-dropping-particle":"","parse-names":false,"suffix":""},{"dropping-particle":"","family":"Connor","given":"James R.","non-dropping-particle":"","parse-names":false,"suffix":""}],"container-title":"Biochimica et Biophysica Acta (BBA) - Molecular Basis of Disease","id":"ITEM-1","issue":"6","issued":{"date-parts":[["2013","6"]]},"page":"729-741","title":"A mutation in the HFE gene is associated with altered brain iron profiles and increased oxidative stress in mice","type":"article-journal","volume":"1832"},"uris":["http://www.mendeley.com/documents/?uuid=364191a3-157f-3455-b064-9101e7d40246"]},{"id":"ITEM-2","itemData":{"DOI":"10.1073/pnas.2237037100","ISSN":"0027-8424","author":[{"dropping-particle":"","family":"Tomatsu","given":"S.","non-dropping-particle":"","parse-names":false,"suffix":""},{"dropping-particle":"","family":"Orii","given":"K. O.","non-dropping-particle":"","parse-names":false,"suffix":""},{"dropping-particle":"","family":"Fleming","given":"R. E.","non-dropping-particle":"","parse-names":false,"suffix":""},{"dropping-particle":"","family":"Holden","given":"C. C.","non-dropping-particle":"","parse-names":false,"suffix":""},{"dropping-particle":"","family":"Waheed","given":"A.","non-dropping-particle":"","parse-names":false,"suffix":""},{"dropping-particle":"","family":"Britton","given":"R. S.","non-dropping-particle":"","parse-names":false,"suffix":""},{"dropping-particle":"","family":"Gutierrez","given":"M. A.","non-dropping-particle":"","parse-names":false,"suffix":""},{"dropping-particle":"","family":"Velez-Castrillon","given":"S.","non-dropping-particle":"","parse-names":false,"suffix":""},{"dropping-particle":"","family":"Bacon","given":"B. R.","non-dropping-particle":"","parse-names":false,"suffix":""},{"dropping-particle":"","family":"Sly","given":"W. S.","non-dropping-particle":"","parse-names":false,"suffix":""}],"container-title":"Proceedings of the National Academy of Sciences","id":"ITEM-2","issue":"26","issued":{"date-parts":[["2003","12","23"]]},"page":"15788-15793","title":"Contribution of the H63D mutation in HFE to murine hereditary hemochromatosis","type":"article-journal","volume":"100"},"uris":["http://www.mendeley.com/documents/?uuid=8e492b1f-bdf6-479f-a236-82ff5cc2d280"]}],"mendeley":{"formattedCitation":"(Nandar &lt;i&gt;et al.&lt;/i&gt; 2013; Tomatsu &lt;i&gt;et al.&lt;/i&gt; 2003)","plainTextFormattedCitation":"(Nandar et al. 2013; Tomatsu et al. 2003)","previouslyFormattedCitation":"(Nandar &lt;i&gt;et al.&lt;/i&gt; 2013)"},"properties":{"noteIndex":0},"schema":"https://github.com/citation-style-language/schema/raw/master/csl-citation.json"}</w:instrText>
      </w:r>
      <w:r w:rsidR="00931B4F" w:rsidRPr="003131ED">
        <w:rPr>
          <w:sz w:val="22"/>
          <w:szCs w:val="22"/>
        </w:rPr>
        <w:fldChar w:fldCharType="separate"/>
      </w:r>
      <w:r w:rsidR="00931B4F" w:rsidRPr="003131ED">
        <w:rPr>
          <w:noProof/>
          <w:sz w:val="22"/>
          <w:szCs w:val="22"/>
        </w:rPr>
        <w:t xml:space="preserve">(Nandar </w:t>
      </w:r>
      <w:r w:rsidR="00931B4F" w:rsidRPr="003131ED">
        <w:rPr>
          <w:i/>
          <w:noProof/>
          <w:sz w:val="22"/>
          <w:szCs w:val="22"/>
        </w:rPr>
        <w:t>et al.</w:t>
      </w:r>
      <w:r w:rsidR="00931B4F" w:rsidRPr="003131ED">
        <w:rPr>
          <w:noProof/>
          <w:sz w:val="22"/>
          <w:szCs w:val="22"/>
        </w:rPr>
        <w:t xml:space="preserve"> 2013; Tomatsu </w:t>
      </w:r>
      <w:r w:rsidR="00931B4F" w:rsidRPr="003131ED">
        <w:rPr>
          <w:i/>
          <w:noProof/>
          <w:sz w:val="22"/>
          <w:szCs w:val="22"/>
        </w:rPr>
        <w:t>et al.</w:t>
      </w:r>
      <w:r w:rsidR="00931B4F" w:rsidRPr="003131ED">
        <w:rPr>
          <w:noProof/>
          <w:sz w:val="22"/>
          <w:szCs w:val="22"/>
        </w:rPr>
        <w:t xml:space="preserve"> 2003)</w:t>
      </w:r>
      <w:r w:rsidR="00931B4F" w:rsidRPr="003131ED">
        <w:rPr>
          <w:sz w:val="22"/>
          <w:szCs w:val="22"/>
        </w:rPr>
        <w:fldChar w:fldCharType="end"/>
      </w:r>
      <w:r w:rsidR="00931B4F" w:rsidRPr="003131ED">
        <w:rPr>
          <w:sz w:val="22"/>
          <w:szCs w:val="22"/>
        </w:rPr>
        <w:t xml:space="preserve">. </w:t>
      </w:r>
      <w:r w:rsidR="00CA69B7" w:rsidRPr="003131ED">
        <w:rPr>
          <w:sz w:val="22"/>
          <w:szCs w:val="22"/>
        </w:rPr>
        <w:t xml:space="preserve">No randomization method was used for allocation of mice because all animals received the PFF injection. </w:t>
      </w:r>
      <w:r w:rsidR="00C41746" w:rsidRPr="003131ED">
        <w:rPr>
          <w:sz w:val="22"/>
          <w:szCs w:val="22"/>
        </w:rPr>
        <w:t>Mice were anesthetized using 5% isoflurane mixture and maintained under anesthesia using a 1-2% mixture during the entirety of the procedure. After shaving the head, povidone-iodine was used to disinfect the area. Mice were mounted on the stereotaxic frame and corneal lubrication was applied.</w:t>
      </w:r>
      <w:r w:rsidR="00EE5483" w:rsidRPr="003131ED">
        <w:rPr>
          <w:sz w:val="22"/>
          <w:szCs w:val="22"/>
        </w:rPr>
        <w:t xml:space="preserve"> </w:t>
      </w:r>
      <w:r w:rsidR="00C41746" w:rsidRPr="000B3659">
        <w:rPr>
          <w:sz w:val="22"/>
          <w:szCs w:val="22"/>
          <w:highlight w:val="yellow"/>
        </w:rPr>
        <w:t xml:space="preserve">Total of 14 mice were injected (WT </w:t>
      </w:r>
      <w:r w:rsidR="00C41746" w:rsidRPr="000B3659">
        <w:rPr>
          <w:i/>
          <w:sz w:val="22"/>
          <w:szCs w:val="22"/>
          <w:highlight w:val="yellow"/>
        </w:rPr>
        <w:t>Hfe</w:t>
      </w:r>
      <w:r w:rsidR="00C41746" w:rsidRPr="000B3659">
        <w:rPr>
          <w:sz w:val="22"/>
          <w:szCs w:val="22"/>
          <w:highlight w:val="yellow"/>
        </w:rPr>
        <w:t xml:space="preserve">: 4 males, 3 females; H67D </w:t>
      </w:r>
      <w:r w:rsidR="00C41746" w:rsidRPr="000B3659">
        <w:rPr>
          <w:i/>
          <w:sz w:val="22"/>
          <w:szCs w:val="22"/>
          <w:highlight w:val="yellow"/>
        </w:rPr>
        <w:t>Hfe</w:t>
      </w:r>
      <w:r w:rsidR="00C41746" w:rsidRPr="000B3659">
        <w:rPr>
          <w:sz w:val="22"/>
          <w:szCs w:val="22"/>
          <w:highlight w:val="yellow"/>
        </w:rPr>
        <w:t>: 3 males, 4 females)</w:t>
      </w:r>
      <w:r w:rsidR="00C41746" w:rsidRPr="003131ED">
        <w:rPr>
          <w:sz w:val="22"/>
          <w:szCs w:val="22"/>
        </w:rPr>
        <w:t xml:space="preserve"> with PFF in the right </w:t>
      </w:r>
      <w:r w:rsidR="00EE5483" w:rsidRPr="003131ED">
        <w:rPr>
          <w:sz w:val="22"/>
          <w:szCs w:val="22"/>
        </w:rPr>
        <w:t>striatum</w:t>
      </w:r>
      <w:r w:rsidR="00C41746" w:rsidRPr="003131ED">
        <w:rPr>
          <w:sz w:val="22"/>
          <w:szCs w:val="22"/>
        </w:rPr>
        <w:t xml:space="preserve"> and PBS in the left </w:t>
      </w:r>
      <w:r w:rsidR="00EE5483" w:rsidRPr="003131ED">
        <w:rPr>
          <w:sz w:val="22"/>
          <w:szCs w:val="22"/>
        </w:rPr>
        <w:t>striatum</w:t>
      </w:r>
      <w:r w:rsidR="00C41746" w:rsidRPr="003131ED">
        <w:rPr>
          <w:sz w:val="22"/>
          <w:szCs w:val="22"/>
        </w:rPr>
        <w:t xml:space="preserve"> (+0.2 mm relative to Bregma, +2.0 mm lateral to midline, +2.6 mm beneath the dura)</w:t>
      </w:r>
      <w:r w:rsidR="00520C3A" w:rsidRPr="003131ED">
        <w:rPr>
          <w:sz w:val="22"/>
          <w:szCs w:val="22"/>
        </w:rPr>
        <w:t xml:space="preserve"> (</w:t>
      </w:r>
      <w:r w:rsidR="00520C3A" w:rsidRPr="003131ED">
        <w:rPr>
          <w:b/>
          <w:sz w:val="22"/>
          <w:szCs w:val="22"/>
        </w:rPr>
        <w:t>Fig. 1</w:t>
      </w:r>
      <w:r w:rsidR="00520C3A" w:rsidRPr="003131ED">
        <w:rPr>
          <w:sz w:val="22"/>
          <w:szCs w:val="22"/>
        </w:rPr>
        <w:t>)</w:t>
      </w:r>
      <w:r w:rsidR="00C41746" w:rsidRPr="003131ED">
        <w:rPr>
          <w:sz w:val="22"/>
          <w:szCs w:val="22"/>
        </w:rPr>
        <w:t xml:space="preserve">. </w:t>
      </w:r>
      <w:r w:rsidR="00EE5483" w:rsidRPr="003131ED">
        <w:rPr>
          <w:sz w:val="22"/>
          <w:szCs w:val="22"/>
        </w:rPr>
        <w:t>Injection was performed using a 22-gauge needle and syringe (Hamilton</w:t>
      </w:r>
      <w:r w:rsidR="00E95E12" w:rsidRPr="003131ED">
        <w:rPr>
          <w:sz w:val="22"/>
          <w:szCs w:val="22"/>
        </w:rPr>
        <w:t xml:space="preserve">; </w:t>
      </w:r>
      <w:r w:rsidR="00A46317" w:rsidRPr="003131ED">
        <w:rPr>
          <w:sz w:val="22"/>
          <w:szCs w:val="22"/>
        </w:rPr>
        <w:t>Cat no: 80285</w:t>
      </w:r>
      <w:r w:rsidR="00EE5483" w:rsidRPr="003131ED">
        <w:rPr>
          <w:sz w:val="22"/>
          <w:szCs w:val="22"/>
        </w:rPr>
        <w:t>) at an approximate rate of 0.1uL per min for total of 2.5uL per injection site. The needle was in place for &gt;5 min at each target. Bone wax was applied to prevent any leakage and the skin was sutured. Mice were allowed to recover in a 37</w:t>
      </w:r>
      <w:r w:rsidR="00EE5483" w:rsidRPr="003131ED">
        <w:rPr>
          <w:sz w:val="22"/>
          <w:szCs w:val="22"/>
          <w:vertAlign w:val="superscript"/>
        </w:rPr>
        <w:t>o</w:t>
      </w:r>
      <w:r w:rsidR="00EE5483" w:rsidRPr="003131ED">
        <w:rPr>
          <w:sz w:val="22"/>
          <w:szCs w:val="22"/>
        </w:rPr>
        <w:t xml:space="preserve">C environment before transportation. </w:t>
      </w:r>
      <w:r w:rsidR="00884612" w:rsidRPr="003131ED">
        <w:rPr>
          <w:sz w:val="22"/>
          <w:szCs w:val="22"/>
        </w:rPr>
        <w:t xml:space="preserve">Subcutaneous buprenorphine (0.05mg/kg) was administered </w:t>
      </w:r>
      <w:r w:rsidR="000E6735" w:rsidRPr="003131ED">
        <w:rPr>
          <w:sz w:val="22"/>
          <w:szCs w:val="22"/>
        </w:rPr>
        <w:t>for</w:t>
      </w:r>
      <w:r w:rsidR="00884612" w:rsidRPr="003131ED">
        <w:rPr>
          <w:sz w:val="22"/>
          <w:szCs w:val="22"/>
        </w:rPr>
        <w:t xml:space="preserve"> analgesia</w:t>
      </w:r>
      <w:r w:rsidR="00910AFA" w:rsidRPr="003131ED">
        <w:rPr>
          <w:sz w:val="22"/>
          <w:szCs w:val="22"/>
        </w:rPr>
        <w:t xml:space="preserve">. </w:t>
      </w:r>
      <w:r w:rsidR="00EE5483" w:rsidRPr="003131ED">
        <w:rPr>
          <w:sz w:val="22"/>
          <w:szCs w:val="22"/>
        </w:rPr>
        <w:t>Mice were monitored daily for 7 days post-surgery to assess for acute distress.</w:t>
      </w:r>
      <w:r w:rsidR="00884612" w:rsidRPr="003131ED">
        <w:rPr>
          <w:sz w:val="22"/>
          <w:szCs w:val="22"/>
        </w:rPr>
        <w:t xml:space="preserve"> </w:t>
      </w:r>
      <w:r w:rsidR="00EE5483" w:rsidRPr="003131ED">
        <w:rPr>
          <w:sz w:val="22"/>
          <w:szCs w:val="22"/>
        </w:rPr>
        <w:t xml:space="preserve">From then on, mouse weights were checked once per month </w:t>
      </w:r>
      <w:r w:rsidR="00A46317" w:rsidRPr="003131ED">
        <w:rPr>
          <w:sz w:val="22"/>
          <w:szCs w:val="22"/>
        </w:rPr>
        <w:t xml:space="preserve">until the endpoint </w:t>
      </w:r>
      <w:r w:rsidR="00DC5E99" w:rsidRPr="003131ED">
        <w:rPr>
          <w:sz w:val="22"/>
          <w:szCs w:val="22"/>
        </w:rPr>
        <w:t>of</w:t>
      </w:r>
      <w:r w:rsidR="00A46317" w:rsidRPr="003131ED">
        <w:rPr>
          <w:sz w:val="22"/>
          <w:szCs w:val="22"/>
        </w:rPr>
        <w:t xml:space="preserve"> 3 months post-injection.</w:t>
      </w:r>
      <w:r w:rsidR="00505A3C" w:rsidRPr="003131ED">
        <w:rPr>
          <w:sz w:val="22"/>
          <w:szCs w:val="22"/>
        </w:rPr>
        <w:t xml:space="preserve"> There </w:t>
      </w:r>
      <w:r w:rsidR="009652FC" w:rsidRPr="003131ED">
        <w:rPr>
          <w:sz w:val="22"/>
          <w:szCs w:val="22"/>
        </w:rPr>
        <w:t>were</w:t>
      </w:r>
      <w:r w:rsidR="00505A3C" w:rsidRPr="003131ED">
        <w:rPr>
          <w:sz w:val="22"/>
          <w:szCs w:val="22"/>
        </w:rPr>
        <w:t xml:space="preserve"> no predetermined exclusion criteria </w:t>
      </w:r>
      <w:r w:rsidR="009652FC" w:rsidRPr="003131ED">
        <w:rPr>
          <w:sz w:val="22"/>
          <w:szCs w:val="22"/>
        </w:rPr>
        <w:t xml:space="preserve">(no exclusions were made) </w:t>
      </w:r>
      <w:r w:rsidR="00505A3C" w:rsidRPr="003131ED">
        <w:rPr>
          <w:sz w:val="22"/>
          <w:szCs w:val="22"/>
        </w:rPr>
        <w:t xml:space="preserve">and all </w:t>
      </w:r>
      <w:r w:rsidR="009652FC" w:rsidRPr="003131ED">
        <w:rPr>
          <w:sz w:val="22"/>
          <w:szCs w:val="22"/>
        </w:rPr>
        <w:t xml:space="preserve">14 mice what were initially injected survived until the endpoint. </w:t>
      </w:r>
      <w:r w:rsidR="007572AE" w:rsidRPr="003131ED">
        <w:rPr>
          <w:sz w:val="22"/>
          <w:szCs w:val="22"/>
        </w:rPr>
        <w:t xml:space="preserve">The mice were individually housed in standard mouse cages at the in-house animal facility of Penn State College of Medicine. Mice had access to food and water </w:t>
      </w:r>
      <w:r w:rsidR="007572AE" w:rsidRPr="003131ED">
        <w:rPr>
          <w:i/>
          <w:sz w:val="22"/>
          <w:szCs w:val="22"/>
        </w:rPr>
        <w:t>ad libitum</w:t>
      </w:r>
      <w:r w:rsidR="007572AE" w:rsidRPr="003131ED">
        <w:rPr>
          <w:sz w:val="22"/>
          <w:szCs w:val="22"/>
        </w:rPr>
        <w:t xml:space="preserve">. </w:t>
      </w:r>
      <w:r w:rsidR="00F04E95" w:rsidRPr="003131ED">
        <w:rPr>
          <w:sz w:val="22"/>
          <w:szCs w:val="22"/>
        </w:rPr>
        <w:t>Penn State College of Medicine Institutional Animal Care and Use Committee approved all procedures</w:t>
      </w:r>
      <w:r w:rsidR="00F24401" w:rsidRPr="003131ED">
        <w:rPr>
          <w:sz w:val="22"/>
          <w:szCs w:val="22"/>
        </w:rPr>
        <w:t xml:space="preserve"> (</w:t>
      </w:r>
      <w:r w:rsidR="006073CD" w:rsidRPr="003131ED">
        <w:rPr>
          <w:sz w:val="22"/>
          <w:szCs w:val="22"/>
        </w:rPr>
        <w:t>PRAMS200747464)</w:t>
      </w:r>
      <w:r w:rsidR="00F04E95" w:rsidRPr="003131ED">
        <w:rPr>
          <w:sz w:val="22"/>
          <w:szCs w:val="22"/>
        </w:rPr>
        <w:t xml:space="preserve">. </w:t>
      </w:r>
    </w:p>
    <w:p w14:paraId="0D87E240" w14:textId="0399AF50" w:rsidR="007865DF" w:rsidRPr="003131ED" w:rsidRDefault="007865DF" w:rsidP="00D0468C">
      <w:pPr>
        <w:spacing w:line="360" w:lineRule="auto"/>
        <w:jc w:val="both"/>
        <w:rPr>
          <w:b/>
          <w:sz w:val="22"/>
          <w:szCs w:val="22"/>
        </w:rPr>
      </w:pPr>
    </w:p>
    <w:p w14:paraId="39E735E7" w14:textId="66CD3939" w:rsidR="005A7D41" w:rsidRPr="003131ED" w:rsidRDefault="005A7D41" w:rsidP="00D0468C">
      <w:pPr>
        <w:spacing w:line="360" w:lineRule="auto"/>
        <w:jc w:val="both"/>
        <w:rPr>
          <w:b/>
          <w:sz w:val="22"/>
          <w:szCs w:val="22"/>
        </w:rPr>
      </w:pPr>
      <w:r w:rsidRPr="003131ED">
        <w:rPr>
          <w:b/>
          <w:sz w:val="22"/>
          <w:szCs w:val="22"/>
        </w:rPr>
        <w:t>Rotor rod motor behavior assessment</w:t>
      </w:r>
    </w:p>
    <w:p w14:paraId="19DFB1CB" w14:textId="15FA78FA" w:rsidR="002343F1" w:rsidRPr="003131ED" w:rsidRDefault="00520C3A" w:rsidP="00D0468C">
      <w:pPr>
        <w:spacing w:line="360" w:lineRule="auto"/>
        <w:jc w:val="both"/>
        <w:rPr>
          <w:sz w:val="22"/>
          <w:szCs w:val="22"/>
        </w:rPr>
      </w:pPr>
      <w:r w:rsidRPr="003131ED">
        <w:rPr>
          <w:sz w:val="22"/>
          <w:szCs w:val="22"/>
        </w:rPr>
        <w:lastRenderedPageBreak/>
        <w:t xml:space="preserve">At 1 week (baseline), 1 month, 2 months, and 3 months post-injection, </w:t>
      </w:r>
      <w:r w:rsidR="00F528AB" w:rsidRPr="003131ED">
        <w:rPr>
          <w:sz w:val="22"/>
          <w:szCs w:val="22"/>
        </w:rPr>
        <w:t xml:space="preserve">all mice underwent rotor rod </w:t>
      </w:r>
      <w:r w:rsidR="00DA5987" w:rsidRPr="003131ED">
        <w:rPr>
          <w:sz w:val="22"/>
          <w:szCs w:val="22"/>
        </w:rPr>
        <w:t xml:space="preserve">(Columbus Instruments, Columbus, OH, USA) </w:t>
      </w:r>
      <w:r w:rsidR="00F528AB" w:rsidRPr="003131ED">
        <w:rPr>
          <w:sz w:val="22"/>
          <w:szCs w:val="22"/>
        </w:rPr>
        <w:t>testing to assess their motor function</w:t>
      </w:r>
      <w:r w:rsidR="00453798" w:rsidRPr="003131ED">
        <w:rPr>
          <w:sz w:val="22"/>
          <w:szCs w:val="22"/>
        </w:rPr>
        <w:t xml:space="preserve"> (</w:t>
      </w:r>
      <w:r w:rsidR="00453798" w:rsidRPr="003131ED">
        <w:rPr>
          <w:b/>
          <w:sz w:val="22"/>
          <w:szCs w:val="22"/>
        </w:rPr>
        <w:t>Fig. 1</w:t>
      </w:r>
      <w:r w:rsidR="00453798" w:rsidRPr="003131ED">
        <w:rPr>
          <w:sz w:val="22"/>
          <w:szCs w:val="22"/>
        </w:rPr>
        <w:t>)</w:t>
      </w:r>
      <w:r w:rsidR="00F528AB" w:rsidRPr="003131ED">
        <w:rPr>
          <w:sz w:val="22"/>
          <w:szCs w:val="22"/>
        </w:rPr>
        <w:t xml:space="preserve">. </w:t>
      </w:r>
      <w:r w:rsidR="00F24401" w:rsidRPr="003131ED">
        <w:rPr>
          <w:sz w:val="22"/>
          <w:szCs w:val="22"/>
        </w:rPr>
        <w:t>Behavioral tests were conducted in the morning</w:t>
      </w:r>
      <w:r w:rsidR="00B96AAE" w:rsidRPr="003131ED">
        <w:rPr>
          <w:sz w:val="22"/>
          <w:szCs w:val="22"/>
        </w:rPr>
        <w:t xml:space="preserve"> (9-11am)</w:t>
      </w:r>
      <w:r w:rsidR="00F24401" w:rsidRPr="003131ED">
        <w:rPr>
          <w:sz w:val="22"/>
          <w:szCs w:val="22"/>
        </w:rPr>
        <w:t xml:space="preserve">. </w:t>
      </w:r>
      <w:r w:rsidR="00453798" w:rsidRPr="003131ED">
        <w:rPr>
          <w:sz w:val="22"/>
          <w:szCs w:val="22"/>
        </w:rPr>
        <w:t xml:space="preserve">To blind the person conducting the behavioral test to the mouse genotype, each mouse was assigned a number and marked by ear notching prior to the first rotor rod session. </w:t>
      </w:r>
      <w:r w:rsidR="00F0692D" w:rsidRPr="003131ED">
        <w:rPr>
          <w:sz w:val="22"/>
          <w:szCs w:val="22"/>
        </w:rPr>
        <w:t xml:space="preserve">The </w:t>
      </w:r>
      <w:r w:rsidR="00453798" w:rsidRPr="003131ED">
        <w:rPr>
          <w:sz w:val="22"/>
          <w:szCs w:val="22"/>
        </w:rPr>
        <w:t xml:space="preserve">corresponding genotype </w:t>
      </w:r>
      <w:r w:rsidR="00F0692D" w:rsidRPr="003131ED">
        <w:rPr>
          <w:sz w:val="22"/>
          <w:szCs w:val="22"/>
        </w:rPr>
        <w:t xml:space="preserve">for each mouse </w:t>
      </w:r>
      <w:r w:rsidR="00453798" w:rsidRPr="003131ED">
        <w:rPr>
          <w:sz w:val="22"/>
          <w:szCs w:val="22"/>
        </w:rPr>
        <w:t>was unmasked for data analysis at endpoint. Mouse weights were recorded prior to each rotor rod session. No significant difference in weight between genotypes were observed (data not shown). Before each set of mice, rotor rod apparatus was cleaned with 70% ethanol to minimize odor cues. Total session lasted for 250s</w:t>
      </w:r>
      <w:r w:rsidR="00BC2911" w:rsidRPr="003131ED">
        <w:rPr>
          <w:sz w:val="22"/>
          <w:szCs w:val="22"/>
        </w:rPr>
        <w:t xml:space="preserve"> and s</w:t>
      </w:r>
      <w:r w:rsidR="00453798" w:rsidRPr="003131ED">
        <w:rPr>
          <w:sz w:val="22"/>
          <w:szCs w:val="22"/>
        </w:rPr>
        <w:t xml:space="preserve">peed </w:t>
      </w:r>
      <w:r w:rsidR="00BC2911" w:rsidRPr="003131ED">
        <w:rPr>
          <w:sz w:val="22"/>
          <w:szCs w:val="22"/>
        </w:rPr>
        <w:t xml:space="preserve">was ramped up from </w:t>
      </w:r>
      <w:r w:rsidR="00453798" w:rsidRPr="003131ED">
        <w:rPr>
          <w:sz w:val="22"/>
          <w:szCs w:val="22"/>
        </w:rPr>
        <w:t xml:space="preserve">4rpm to </w:t>
      </w:r>
      <w:r w:rsidR="00BC2911" w:rsidRPr="003131ED">
        <w:rPr>
          <w:sz w:val="22"/>
          <w:szCs w:val="22"/>
        </w:rPr>
        <w:t>35rpm uniformly. Time to first fall and total number of falls during each session was recorded.</w:t>
      </w:r>
      <w:r w:rsidR="008D33CB" w:rsidRPr="003131ED">
        <w:rPr>
          <w:sz w:val="22"/>
          <w:szCs w:val="22"/>
        </w:rPr>
        <w:t xml:space="preserve"> Training sessions were completed 4 days and 2 days prior to the actual recorded rotor rod session </w:t>
      </w:r>
      <w:r w:rsidR="00AF5D15" w:rsidRPr="003131ED">
        <w:rPr>
          <w:sz w:val="22"/>
          <w:szCs w:val="22"/>
        </w:rPr>
        <w:t xml:space="preserve">using the same settings as described. </w:t>
      </w:r>
    </w:p>
    <w:p w14:paraId="489BCA7D" w14:textId="77777777" w:rsidR="00F76D77" w:rsidRPr="003131ED" w:rsidRDefault="00F76D77" w:rsidP="00D0468C">
      <w:pPr>
        <w:spacing w:line="360" w:lineRule="auto"/>
        <w:jc w:val="both"/>
        <w:rPr>
          <w:sz w:val="22"/>
          <w:szCs w:val="22"/>
        </w:rPr>
      </w:pPr>
    </w:p>
    <w:p w14:paraId="34412B91" w14:textId="433116AB" w:rsidR="00F04E95" w:rsidRPr="003131ED" w:rsidRDefault="00F04E95" w:rsidP="00D0468C">
      <w:pPr>
        <w:spacing w:line="360" w:lineRule="auto"/>
        <w:jc w:val="both"/>
        <w:rPr>
          <w:b/>
          <w:sz w:val="22"/>
          <w:szCs w:val="22"/>
        </w:rPr>
      </w:pPr>
      <w:r w:rsidRPr="003131ED">
        <w:rPr>
          <w:b/>
          <w:sz w:val="22"/>
          <w:szCs w:val="22"/>
        </w:rPr>
        <w:t>Immunohistochemistry</w:t>
      </w:r>
    </w:p>
    <w:p w14:paraId="60C4C3AD" w14:textId="4E15444D" w:rsidR="00A16B94" w:rsidRPr="003131ED" w:rsidRDefault="00113792" w:rsidP="00D0468C">
      <w:pPr>
        <w:spacing w:line="360" w:lineRule="auto"/>
        <w:jc w:val="both"/>
        <w:rPr>
          <w:rFonts w:eastAsia="Arial"/>
          <w:sz w:val="22"/>
          <w:szCs w:val="22"/>
        </w:rPr>
      </w:pPr>
      <w:r w:rsidRPr="003131ED">
        <w:rPr>
          <w:sz w:val="22"/>
          <w:szCs w:val="22"/>
        </w:rPr>
        <w:t>At the</w:t>
      </w:r>
      <w:r w:rsidR="00F15054" w:rsidRPr="003131ED">
        <w:rPr>
          <w:sz w:val="22"/>
          <w:szCs w:val="22"/>
        </w:rPr>
        <w:t xml:space="preserve"> endpoint </w:t>
      </w:r>
      <w:r w:rsidR="00F76D77" w:rsidRPr="003131ED">
        <w:rPr>
          <w:sz w:val="22"/>
          <w:szCs w:val="22"/>
        </w:rPr>
        <w:t>(</w:t>
      </w:r>
      <w:r w:rsidRPr="003131ED">
        <w:rPr>
          <w:sz w:val="22"/>
          <w:szCs w:val="22"/>
        </w:rPr>
        <w:t>3 months post</w:t>
      </w:r>
      <w:r w:rsidR="00F76D77" w:rsidRPr="003131ED">
        <w:rPr>
          <w:sz w:val="22"/>
          <w:szCs w:val="22"/>
        </w:rPr>
        <w:t>-</w:t>
      </w:r>
      <w:r w:rsidRPr="003131ED">
        <w:rPr>
          <w:sz w:val="22"/>
          <w:szCs w:val="22"/>
        </w:rPr>
        <w:t>injection</w:t>
      </w:r>
      <w:r w:rsidR="00F76D77" w:rsidRPr="003131ED">
        <w:rPr>
          <w:sz w:val="22"/>
          <w:szCs w:val="22"/>
        </w:rPr>
        <w:t>)</w:t>
      </w:r>
      <w:r w:rsidRPr="003131ED">
        <w:rPr>
          <w:sz w:val="22"/>
          <w:szCs w:val="22"/>
        </w:rPr>
        <w:t xml:space="preserve">, </w:t>
      </w:r>
      <w:r w:rsidR="00A16B94" w:rsidRPr="003131ED">
        <w:rPr>
          <w:sz w:val="22"/>
          <w:szCs w:val="22"/>
        </w:rPr>
        <w:t xml:space="preserve">mice were injected with </w:t>
      </w:r>
      <w:r w:rsidR="00A16B94" w:rsidRPr="00AE17DD">
        <w:rPr>
          <w:sz w:val="22"/>
          <w:szCs w:val="22"/>
          <w:highlight w:val="yellow"/>
        </w:rPr>
        <w:t>ketamine</w:t>
      </w:r>
      <w:r w:rsidR="00AE17DD" w:rsidRPr="00AE17DD">
        <w:rPr>
          <w:sz w:val="22"/>
          <w:szCs w:val="22"/>
          <w:highlight w:val="yellow"/>
        </w:rPr>
        <w:t xml:space="preserve"> (100mg/kg)</w:t>
      </w:r>
      <w:r w:rsidR="00A16B94" w:rsidRPr="00AE17DD">
        <w:rPr>
          <w:sz w:val="22"/>
          <w:szCs w:val="22"/>
          <w:highlight w:val="yellow"/>
        </w:rPr>
        <w:t>/xylazine</w:t>
      </w:r>
      <w:r w:rsidR="00AE17DD" w:rsidRPr="00AE17DD">
        <w:rPr>
          <w:sz w:val="22"/>
          <w:szCs w:val="22"/>
          <w:highlight w:val="yellow"/>
        </w:rPr>
        <w:t xml:space="preserve"> (10mg/kg)</w:t>
      </w:r>
      <w:r w:rsidR="00A16B94" w:rsidRPr="00AE17DD">
        <w:rPr>
          <w:sz w:val="22"/>
          <w:szCs w:val="22"/>
          <w:highlight w:val="yellow"/>
        </w:rPr>
        <w:t xml:space="preserve"> cocktail</w:t>
      </w:r>
      <w:r w:rsidR="00A16B94" w:rsidRPr="003131ED">
        <w:rPr>
          <w:sz w:val="22"/>
          <w:szCs w:val="22"/>
        </w:rPr>
        <w:t xml:space="preserve"> and perfused with Ringer’s solution. Brains were removed and preserved with 4% paraformaldehyde in 0.1M PBS. Paraformaldehyde was replaced with 70% ethanol, then tissue was paraffin-embedded and sectioned into 5um slices. </w:t>
      </w:r>
      <w:r w:rsidR="00F76D77" w:rsidRPr="00B6127E">
        <w:rPr>
          <w:sz w:val="22"/>
          <w:szCs w:val="22"/>
          <w:highlight w:val="yellow"/>
        </w:rPr>
        <w:t xml:space="preserve">Slides were coded using the mouse number </w:t>
      </w:r>
      <w:r w:rsidR="00EC33F7" w:rsidRPr="00B6127E">
        <w:rPr>
          <w:sz w:val="22"/>
          <w:szCs w:val="22"/>
          <w:highlight w:val="yellow"/>
        </w:rPr>
        <w:t>as described above</w:t>
      </w:r>
      <w:r w:rsidR="00B6127E" w:rsidRPr="00B6127E">
        <w:rPr>
          <w:sz w:val="22"/>
          <w:szCs w:val="22"/>
          <w:highlight w:val="yellow"/>
        </w:rPr>
        <w:t xml:space="preserve"> to blind the experimenter during staining, image acquisition</w:t>
      </w:r>
      <w:r w:rsidR="00723154">
        <w:rPr>
          <w:sz w:val="22"/>
          <w:szCs w:val="22"/>
          <w:highlight w:val="yellow"/>
        </w:rPr>
        <w:t>,</w:t>
      </w:r>
      <w:r w:rsidR="00B6127E" w:rsidRPr="00B6127E">
        <w:rPr>
          <w:sz w:val="22"/>
          <w:szCs w:val="22"/>
          <w:highlight w:val="yellow"/>
        </w:rPr>
        <w:t xml:space="preserve"> and </w:t>
      </w:r>
      <w:r w:rsidR="00723154">
        <w:rPr>
          <w:sz w:val="22"/>
          <w:szCs w:val="22"/>
          <w:highlight w:val="yellow"/>
        </w:rPr>
        <w:t xml:space="preserve">data </w:t>
      </w:r>
      <w:r w:rsidR="00B6127E" w:rsidRPr="00B6127E">
        <w:rPr>
          <w:sz w:val="22"/>
          <w:szCs w:val="22"/>
          <w:highlight w:val="yellow"/>
        </w:rPr>
        <w:t>analysis.</w:t>
      </w:r>
      <w:r w:rsidR="00B6127E">
        <w:rPr>
          <w:sz w:val="22"/>
          <w:szCs w:val="22"/>
        </w:rPr>
        <w:t xml:space="preserve"> </w:t>
      </w:r>
      <w:r w:rsidR="001E3601" w:rsidRPr="003131ED">
        <w:rPr>
          <w:sz w:val="22"/>
          <w:szCs w:val="22"/>
        </w:rPr>
        <w:t>Slides were deparaffinized, rehydrated, and incubated in sodium citrate buffer for antigen retrieval. Sections were blocked with 2% milk in PBS for 1hr at room temperature. Primary antibody incubation was performed overnight at 4</w:t>
      </w:r>
      <w:r w:rsidR="001E3601" w:rsidRPr="003131ED">
        <w:rPr>
          <w:sz w:val="22"/>
          <w:szCs w:val="22"/>
        </w:rPr>
        <w:sym w:font="Symbol" w:char="F0B0"/>
      </w:r>
      <w:r w:rsidR="001E3601" w:rsidRPr="003131ED">
        <w:rPr>
          <w:sz w:val="22"/>
          <w:szCs w:val="22"/>
        </w:rPr>
        <w:t>C</w:t>
      </w:r>
      <w:r w:rsidR="00A52235" w:rsidRPr="003131ED">
        <w:rPr>
          <w:sz w:val="22"/>
          <w:szCs w:val="22"/>
        </w:rPr>
        <w:t>.</w:t>
      </w:r>
      <w:r w:rsidR="009E4BEF" w:rsidRPr="003131ED">
        <w:rPr>
          <w:sz w:val="22"/>
          <w:szCs w:val="22"/>
        </w:rPr>
        <w:t xml:space="preserve"> </w:t>
      </w:r>
      <w:r w:rsidR="00EC33F7" w:rsidRPr="003131ED">
        <w:rPr>
          <w:sz w:val="22"/>
          <w:szCs w:val="22"/>
        </w:rPr>
        <w:t>Alexa488 conjugated anti-rabbit secondary antibody or b</w:t>
      </w:r>
      <w:r w:rsidR="001E3601" w:rsidRPr="003131ED">
        <w:rPr>
          <w:sz w:val="22"/>
          <w:szCs w:val="22"/>
        </w:rPr>
        <w:t xml:space="preserve">iotinylated anti-rabbit secondary antibody </w:t>
      </w:r>
      <w:r w:rsidR="008A791A" w:rsidRPr="003131ED">
        <w:rPr>
          <w:sz w:val="22"/>
          <w:szCs w:val="22"/>
        </w:rPr>
        <w:t>(</w:t>
      </w:r>
      <w:r w:rsidR="008A791A" w:rsidRPr="003131ED">
        <w:rPr>
          <w:b/>
          <w:sz w:val="22"/>
          <w:szCs w:val="22"/>
        </w:rPr>
        <w:t>Table 1</w:t>
      </w:r>
      <w:r w:rsidR="008A791A" w:rsidRPr="003131ED">
        <w:rPr>
          <w:sz w:val="22"/>
          <w:szCs w:val="22"/>
        </w:rPr>
        <w:t xml:space="preserve">) </w:t>
      </w:r>
      <w:r w:rsidR="001E3601" w:rsidRPr="003131ED">
        <w:rPr>
          <w:sz w:val="22"/>
          <w:szCs w:val="22"/>
        </w:rPr>
        <w:t>was added and immunoreactivity was detected with 3,3’-diaminobenzidine Peroxidase (HRP) substrate kit (Vector Laboratories</w:t>
      </w:r>
      <w:r w:rsidR="00EC33F7" w:rsidRPr="003131ED">
        <w:rPr>
          <w:sz w:val="22"/>
          <w:szCs w:val="22"/>
        </w:rPr>
        <w:t>; Cat no: SK-4100</w:t>
      </w:r>
      <w:r w:rsidR="001E3601" w:rsidRPr="003131ED">
        <w:rPr>
          <w:sz w:val="22"/>
          <w:szCs w:val="22"/>
        </w:rPr>
        <w:t xml:space="preserve">). </w:t>
      </w:r>
      <w:r w:rsidR="00B067A8" w:rsidRPr="003131ED">
        <w:rPr>
          <w:sz w:val="22"/>
          <w:szCs w:val="22"/>
        </w:rPr>
        <w:t xml:space="preserve">Slides were imaged with </w:t>
      </w:r>
      <w:r w:rsidR="00B067A8" w:rsidRPr="003131ED">
        <w:rPr>
          <w:rFonts w:eastAsia="Arial"/>
          <w:sz w:val="22"/>
          <w:szCs w:val="22"/>
        </w:rPr>
        <w:t>Echo Revolve hybrid upright-inverted microscope.</w:t>
      </w:r>
      <w:r w:rsidR="00EC33F7" w:rsidRPr="003131ED">
        <w:rPr>
          <w:rFonts w:eastAsia="Arial"/>
          <w:sz w:val="22"/>
          <w:szCs w:val="22"/>
        </w:rPr>
        <w:t xml:space="preserve"> Corrected total fluorescence (CTF) was calculated by using the formula: [integrated density – (selected area * mean fluorescence of background)]/ corrected DAPI intensity in selected area. </w:t>
      </w:r>
    </w:p>
    <w:p w14:paraId="02E2075D" w14:textId="7793A3FA" w:rsidR="00F04E95" w:rsidRPr="003131ED" w:rsidRDefault="00A16B94" w:rsidP="00D0468C">
      <w:pPr>
        <w:spacing w:line="360" w:lineRule="auto"/>
        <w:jc w:val="both"/>
        <w:rPr>
          <w:sz w:val="22"/>
          <w:szCs w:val="22"/>
        </w:rPr>
      </w:pPr>
      <w:r w:rsidRPr="003131ED">
        <w:rPr>
          <w:sz w:val="22"/>
          <w:szCs w:val="22"/>
        </w:rPr>
        <w:t xml:space="preserve"> </w:t>
      </w:r>
    </w:p>
    <w:p w14:paraId="4E165141" w14:textId="26E42D55" w:rsidR="00943040" w:rsidRPr="003131ED" w:rsidRDefault="00D104BA" w:rsidP="00D0468C">
      <w:pPr>
        <w:spacing w:line="360" w:lineRule="auto"/>
        <w:jc w:val="both"/>
        <w:rPr>
          <w:sz w:val="22"/>
          <w:szCs w:val="22"/>
        </w:rPr>
      </w:pPr>
      <w:r w:rsidRPr="003131ED">
        <w:rPr>
          <w:b/>
          <w:sz w:val="22"/>
          <w:szCs w:val="22"/>
        </w:rPr>
        <w:t>Statistical analysis</w:t>
      </w:r>
    </w:p>
    <w:p w14:paraId="5FCAB6D7" w14:textId="562DDF30" w:rsidR="00DA6FA6" w:rsidRPr="003131ED" w:rsidRDefault="009E2890" w:rsidP="00DA6FA6">
      <w:pPr>
        <w:spacing w:line="360" w:lineRule="auto"/>
        <w:jc w:val="both"/>
        <w:rPr>
          <w:sz w:val="22"/>
          <w:szCs w:val="22"/>
        </w:rPr>
      </w:pPr>
      <w:r w:rsidRPr="003131ED">
        <w:rPr>
          <w:sz w:val="22"/>
          <w:szCs w:val="22"/>
        </w:rPr>
        <w:t xml:space="preserve">Sample size </w:t>
      </w:r>
      <w:r w:rsidR="00A4599E" w:rsidRPr="003131ED">
        <w:rPr>
          <w:sz w:val="22"/>
          <w:szCs w:val="22"/>
        </w:rPr>
        <w:t xml:space="preserve">for the animal study </w:t>
      </w:r>
      <w:r w:rsidR="00AC3531" w:rsidRPr="003131ED">
        <w:rPr>
          <w:sz w:val="22"/>
          <w:szCs w:val="22"/>
        </w:rPr>
        <w:t xml:space="preserve">was calculated using data from </w:t>
      </w:r>
      <w:proofErr w:type="spellStart"/>
      <w:r w:rsidR="00AC3531" w:rsidRPr="003131ED">
        <w:rPr>
          <w:sz w:val="22"/>
          <w:szCs w:val="22"/>
        </w:rPr>
        <w:t>Luk</w:t>
      </w:r>
      <w:proofErr w:type="spellEnd"/>
      <w:r w:rsidR="00AC3531" w:rsidRPr="003131ED">
        <w:rPr>
          <w:sz w:val="22"/>
          <w:szCs w:val="22"/>
        </w:rPr>
        <w:t>, et al. 2009</w:t>
      </w:r>
      <w:r w:rsidR="00CB59D5" w:rsidRPr="003131ED">
        <w:rPr>
          <w:sz w:val="22"/>
          <w:szCs w:val="22"/>
        </w:rPr>
        <w:t xml:space="preserve">, which showed about 15% difference in time to fall between control and 3 months post PFF injection. Alpha of 0.05 and beta of 0.2 was used to arrive at the calculated sample size of </w:t>
      </w:r>
      <w:r w:rsidR="00862D16" w:rsidRPr="003131ED">
        <w:rPr>
          <w:sz w:val="22"/>
          <w:szCs w:val="22"/>
        </w:rPr>
        <w:t>7 per group</w:t>
      </w:r>
      <w:r w:rsidR="007A6366">
        <w:rPr>
          <w:sz w:val="22"/>
          <w:szCs w:val="22"/>
        </w:rPr>
        <w:t xml:space="preserve"> (</w:t>
      </w:r>
      <m:oMath>
        <m:r>
          <w:rPr>
            <w:rFonts w:ascii="Cambria Math" w:hAnsi="Cambria Math"/>
            <w:sz w:val="22"/>
            <w:szCs w:val="22"/>
          </w:rPr>
          <m:t xml:space="preserve">N= </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r>
                      <w:rPr>
                        <w:rFonts w:ascii="Cambria Math" w:hAnsi="Cambria Math"/>
                        <w:i/>
                        <w:sz w:val="22"/>
                        <w:szCs w:val="22"/>
                      </w:rPr>
                      <w:sym w:font="Symbol" w:char="F061"/>
                    </m:r>
                    <m:r>
                      <w:rPr>
                        <w:rFonts w:ascii="Cambria Math" w:hAnsi="Cambria Math"/>
                        <w:sz w:val="22"/>
                        <w:szCs w:val="22"/>
                      </w:rPr>
                      <m:t>/2</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r>
                      <w:rPr>
                        <w:rFonts w:ascii="Cambria Math" w:hAnsi="Cambria Math"/>
                        <w:i/>
                        <w:sz w:val="22"/>
                        <w:szCs w:val="22"/>
                      </w:rPr>
                      <w:sym w:font="Symbol" w:char="F062"/>
                    </m:r>
                  </m:sub>
                </m:sSub>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i/>
                    <w:sz w:val="22"/>
                    <w:szCs w:val="22"/>
                  </w:rPr>
                  <w:sym w:font="Symbol" w:char="F073"/>
                </m:r>
              </m:e>
              <m:sub>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i/>
                    <w:sz w:val="22"/>
                    <w:szCs w:val="22"/>
                  </w:rPr>
                  <w:sym w:font="Symbol" w:char="F073"/>
                </m:r>
              </m:e>
              <m:sub>
                <m:r>
                  <w:rPr>
                    <w:rFonts w:ascii="Cambria Math" w:hAnsi="Cambria Math"/>
                    <w:sz w:val="22"/>
                    <w:szCs w:val="22"/>
                  </w:rPr>
                  <m:t>2</m:t>
                </m:r>
              </m:sub>
              <m:sup>
                <m:r>
                  <w:rPr>
                    <w:rFonts w:ascii="Cambria Math" w:hAnsi="Cambria Math"/>
                    <w:sz w:val="22"/>
                    <w:szCs w:val="22"/>
                  </w:rPr>
                  <m:t>2</m:t>
                </m:r>
              </m:sup>
            </m:sSubSup>
            <m:r>
              <w:rPr>
                <w:rFonts w:ascii="Cambria Math" w:hAnsi="Cambria Math"/>
                <w:sz w:val="22"/>
                <w:szCs w:val="22"/>
              </w:rPr>
              <m:t>)</m:t>
            </m:r>
          </m:num>
          <m:den>
            <m:sSup>
              <m:sSupPr>
                <m:ctrlPr>
                  <w:rPr>
                    <w:rFonts w:ascii="Cambria Math" w:hAnsi="Cambria Math"/>
                    <w:i/>
                    <w:sz w:val="22"/>
                    <w:szCs w:val="22"/>
                  </w:rPr>
                </m:ctrlPr>
              </m:sSupPr>
              <m:e>
                <m:r>
                  <w:rPr>
                    <w:rFonts w:ascii="Cambria Math" w:hAnsi="Cambria Math"/>
                    <w:sz w:val="22"/>
                    <w:szCs w:val="22"/>
                  </w:rPr>
                  <m:t>(</m:t>
                </m:r>
                <m:sSub>
                  <m:sSubPr>
                    <m:ctrlPr>
                      <w:rPr>
                        <w:rFonts w:ascii="Cambria Math" w:hAnsi="Cambria Math"/>
                        <w:i/>
                        <w:sz w:val="22"/>
                        <w:szCs w:val="22"/>
                      </w:rPr>
                    </m:ctrlPr>
                  </m:sSubPr>
                  <m:e>
                    <m:r>
                      <w:rPr>
                        <w:rFonts w:ascii="Cambria Math" w:hAnsi="Cambria Math"/>
                        <w:i/>
                        <w:sz w:val="22"/>
                        <w:szCs w:val="22"/>
                      </w:rPr>
                      <w:sym w:font="Symbol" w:char="F06D"/>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i/>
                        <w:sz w:val="22"/>
                        <w:szCs w:val="22"/>
                      </w:rPr>
                      <w:sym w:font="Symbol" w:char="F06D"/>
                    </m:r>
                  </m:e>
                  <m:sub>
                    <m:r>
                      <w:rPr>
                        <w:rFonts w:ascii="Cambria Math" w:hAnsi="Cambria Math"/>
                        <w:sz w:val="22"/>
                        <w:szCs w:val="22"/>
                      </w:rPr>
                      <m:t>2</m:t>
                    </m:r>
                  </m:sub>
                </m:sSub>
                <m:r>
                  <w:rPr>
                    <w:rFonts w:ascii="Cambria Math" w:hAnsi="Cambria Math"/>
                    <w:sz w:val="22"/>
                    <w:szCs w:val="22"/>
                  </w:rPr>
                  <m:t>)</m:t>
                </m:r>
              </m:e>
              <m:sup>
                <m:r>
                  <w:rPr>
                    <w:rFonts w:ascii="Cambria Math" w:hAnsi="Cambria Math"/>
                    <w:sz w:val="22"/>
                    <w:szCs w:val="22"/>
                  </w:rPr>
                  <m:t>2</m:t>
                </m:r>
              </m:sup>
            </m:sSup>
          </m:den>
        </m:f>
        <m:r>
          <w:rPr>
            <w:rFonts w:ascii="Cambria Math" w:hAnsi="Cambria Math"/>
            <w:sz w:val="22"/>
            <w:szCs w:val="22"/>
          </w:rPr>
          <m:t xml:space="preserve">). </m:t>
        </m:r>
      </m:oMath>
      <w:r w:rsidR="00391151" w:rsidRPr="003131ED">
        <w:rPr>
          <w:sz w:val="22"/>
          <w:szCs w:val="22"/>
        </w:rPr>
        <w:t xml:space="preserve">Unless otherwise </w:t>
      </w:r>
      <w:bookmarkStart w:id="0" w:name="_GoBack"/>
      <w:bookmarkEnd w:id="0"/>
      <w:r w:rsidR="00391151" w:rsidRPr="003131ED">
        <w:rPr>
          <w:sz w:val="22"/>
          <w:szCs w:val="22"/>
        </w:rPr>
        <w:t xml:space="preserve">noted, values </w:t>
      </w:r>
      <w:r w:rsidR="0027214F" w:rsidRPr="003131ED">
        <w:rPr>
          <w:sz w:val="22"/>
          <w:szCs w:val="22"/>
        </w:rPr>
        <w:t xml:space="preserve">presented </w:t>
      </w:r>
      <w:r w:rsidR="00391151" w:rsidRPr="003131ED">
        <w:rPr>
          <w:sz w:val="22"/>
          <w:szCs w:val="22"/>
        </w:rPr>
        <w:t>in figures are mean</w:t>
      </w:r>
      <w:r w:rsidR="0027214F" w:rsidRPr="003131ED">
        <w:rPr>
          <w:sz w:val="22"/>
          <w:szCs w:val="22"/>
        </w:rPr>
        <w:t>s</w:t>
      </w:r>
      <w:r w:rsidR="00391151" w:rsidRPr="003131ED">
        <w:rPr>
          <w:sz w:val="22"/>
          <w:szCs w:val="22"/>
        </w:rPr>
        <w:t xml:space="preserve"> with standard error</w:t>
      </w:r>
      <w:r w:rsidR="0027214F" w:rsidRPr="003131ED">
        <w:rPr>
          <w:sz w:val="22"/>
          <w:szCs w:val="22"/>
        </w:rPr>
        <w:t>s</w:t>
      </w:r>
      <w:r w:rsidR="00391151" w:rsidRPr="003131ED">
        <w:rPr>
          <w:sz w:val="22"/>
          <w:szCs w:val="22"/>
        </w:rPr>
        <w:t xml:space="preserve"> of the mean.</w:t>
      </w:r>
      <w:r w:rsidR="00A404D4" w:rsidRPr="003131ED">
        <w:rPr>
          <w:sz w:val="22"/>
          <w:szCs w:val="22"/>
        </w:rPr>
        <w:t xml:space="preserve"> </w:t>
      </w:r>
      <w:r w:rsidR="00862D16" w:rsidRPr="003131ED">
        <w:rPr>
          <w:sz w:val="22"/>
          <w:szCs w:val="22"/>
        </w:rPr>
        <w:t xml:space="preserve">GraphPad Prism version 8.2.1 was used for statistical analyses. </w:t>
      </w:r>
      <w:r w:rsidR="00A404D4" w:rsidRPr="003131ED">
        <w:rPr>
          <w:sz w:val="22"/>
          <w:szCs w:val="22"/>
        </w:rPr>
        <w:t xml:space="preserve">Student’s t-test or ANOVA with </w:t>
      </w:r>
      <w:r w:rsidR="00A404D4" w:rsidRPr="003131ED">
        <w:rPr>
          <w:i/>
          <w:sz w:val="22"/>
          <w:szCs w:val="22"/>
        </w:rPr>
        <w:t>post hoc</w:t>
      </w:r>
      <w:r w:rsidR="00A404D4" w:rsidRPr="003131ED">
        <w:rPr>
          <w:sz w:val="22"/>
          <w:szCs w:val="22"/>
        </w:rPr>
        <w:t xml:space="preserve"> multiple comparisons test were used. </w:t>
      </w:r>
      <w:r w:rsidR="00872B5B" w:rsidRPr="007D0C9A">
        <w:rPr>
          <w:sz w:val="22"/>
          <w:szCs w:val="22"/>
          <w:highlight w:val="yellow"/>
        </w:rPr>
        <w:t xml:space="preserve">No test for normality </w:t>
      </w:r>
      <w:r w:rsidR="00C3058E" w:rsidRPr="007D0C9A">
        <w:rPr>
          <w:sz w:val="22"/>
          <w:szCs w:val="22"/>
          <w:highlight w:val="yellow"/>
        </w:rPr>
        <w:t xml:space="preserve">or outliers </w:t>
      </w:r>
      <w:r w:rsidR="00872B5B" w:rsidRPr="007D0C9A">
        <w:rPr>
          <w:sz w:val="22"/>
          <w:szCs w:val="22"/>
          <w:highlight w:val="yellow"/>
        </w:rPr>
        <w:t>was performed</w:t>
      </w:r>
      <w:r w:rsidR="00C3058E" w:rsidRPr="007D0C9A">
        <w:rPr>
          <w:sz w:val="22"/>
          <w:szCs w:val="22"/>
          <w:highlight w:val="yellow"/>
        </w:rPr>
        <w:t xml:space="preserve"> because</w:t>
      </w:r>
      <w:r w:rsidR="00551383" w:rsidRPr="007D0C9A">
        <w:rPr>
          <w:sz w:val="22"/>
          <w:szCs w:val="22"/>
          <w:highlight w:val="yellow"/>
        </w:rPr>
        <w:t xml:space="preserve"> </w:t>
      </w:r>
      <w:r w:rsidR="009E43C9" w:rsidRPr="007D0C9A">
        <w:rPr>
          <w:sz w:val="22"/>
          <w:szCs w:val="22"/>
          <w:highlight w:val="yellow"/>
        </w:rPr>
        <w:t>t</w:t>
      </w:r>
      <w:r w:rsidR="00C3058E" w:rsidRPr="007D0C9A">
        <w:rPr>
          <w:sz w:val="22"/>
          <w:szCs w:val="22"/>
          <w:highlight w:val="yellow"/>
        </w:rPr>
        <w:t xml:space="preserve">hese tests </w:t>
      </w:r>
      <w:r w:rsidR="009E43C9" w:rsidRPr="007D0C9A">
        <w:rPr>
          <w:sz w:val="22"/>
          <w:szCs w:val="22"/>
          <w:highlight w:val="yellow"/>
        </w:rPr>
        <w:t>lack power with low sample size</w:t>
      </w:r>
      <w:r w:rsidR="00C3058E" w:rsidRPr="007D0C9A">
        <w:rPr>
          <w:sz w:val="22"/>
          <w:szCs w:val="22"/>
          <w:highlight w:val="yellow"/>
        </w:rPr>
        <w:t>s</w:t>
      </w:r>
      <w:r w:rsidR="008E20C6" w:rsidRPr="007D0C9A">
        <w:rPr>
          <w:sz w:val="22"/>
          <w:szCs w:val="22"/>
          <w:highlight w:val="yellow"/>
        </w:rPr>
        <w:t>.</w:t>
      </w:r>
      <w:r w:rsidR="008E20C6" w:rsidRPr="003131ED">
        <w:rPr>
          <w:sz w:val="22"/>
          <w:szCs w:val="22"/>
        </w:rPr>
        <w:t xml:space="preserve"> </w:t>
      </w:r>
      <w:r w:rsidR="00A404D4" w:rsidRPr="003131ED">
        <w:rPr>
          <w:sz w:val="22"/>
          <w:szCs w:val="22"/>
        </w:rPr>
        <w:t>Statistic</w:t>
      </w:r>
      <w:r w:rsidR="002A5CC2" w:rsidRPr="003131ED">
        <w:rPr>
          <w:sz w:val="22"/>
          <w:szCs w:val="22"/>
        </w:rPr>
        <w:t>al analysis method</w:t>
      </w:r>
      <w:r w:rsidR="00A404D4" w:rsidRPr="003131ED">
        <w:rPr>
          <w:sz w:val="22"/>
          <w:szCs w:val="22"/>
        </w:rPr>
        <w:t xml:space="preserve"> used for each figure is noted in the legend.</w:t>
      </w:r>
    </w:p>
    <w:p w14:paraId="415CFF1F" w14:textId="6EAD3CCF" w:rsidR="00A675B7" w:rsidRPr="003131ED" w:rsidRDefault="00A675B7" w:rsidP="00D0468C">
      <w:pPr>
        <w:spacing w:line="360" w:lineRule="auto"/>
        <w:jc w:val="both"/>
        <w:rPr>
          <w:b/>
          <w:sz w:val="22"/>
          <w:szCs w:val="22"/>
        </w:rPr>
      </w:pPr>
    </w:p>
    <w:p w14:paraId="727EB97C" w14:textId="029ED0D9" w:rsidR="007B1E32" w:rsidRPr="003131ED" w:rsidRDefault="007B1E32" w:rsidP="00D0468C">
      <w:pPr>
        <w:spacing w:line="360" w:lineRule="auto"/>
        <w:jc w:val="both"/>
        <w:rPr>
          <w:b/>
          <w:sz w:val="22"/>
          <w:szCs w:val="22"/>
        </w:rPr>
      </w:pPr>
      <w:r w:rsidRPr="003131ED">
        <w:rPr>
          <w:b/>
          <w:sz w:val="22"/>
          <w:szCs w:val="22"/>
        </w:rPr>
        <w:t>Data availability</w:t>
      </w:r>
    </w:p>
    <w:p w14:paraId="617D90F2" w14:textId="1FB68CB6" w:rsidR="00594C8C" w:rsidRPr="003131ED" w:rsidRDefault="0036320B" w:rsidP="00D0468C">
      <w:pPr>
        <w:spacing w:line="360" w:lineRule="auto"/>
        <w:jc w:val="both"/>
        <w:rPr>
          <w:sz w:val="22"/>
          <w:szCs w:val="22"/>
        </w:rPr>
      </w:pPr>
      <w:r w:rsidRPr="003131ED">
        <w:rPr>
          <w:sz w:val="22"/>
          <w:szCs w:val="22"/>
        </w:rPr>
        <w:t xml:space="preserve">Data that support the findings in this study are available upon request. </w:t>
      </w:r>
    </w:p>
    <w:p w14:paraId="68E85980" w14:textId="77777777" w:rsidR="0088618A" w:rsidRPr="003131ED" w:rsidRDefault="0088618A" w:rsidP="00D0468C">
      <w:pPr>
        <w:spacing w:line="360" w:lineRule="auto"/>
        <w:jc w:val="both"/>
        <w:rPr>
          <w:sz w:val="22"/>
          <w:szCs w:val="22"/>
        </w:rPr>
      </w:pPr>
    </w:p>
    <w:p w14:paraId="61CA6980" w14:textId="6806D363" w:rsidR="00902FEA" w:rsidRPr="003131ED" w:rsidRDefault="00902FEA" w:rsidP="00D0468C">
      <w:pPr>
        <w:spacing w:line="360" w:lineRule="auto"/>
        <w:jc w:val="both"/>
        <w:rPr>
          <w:b/>
        </w:rPr>
      </w:pPr>
      <w:r w:rsidRPr="003131ED">
        <w:rPr>
          <w:b/>
        </w:rPr>
        <w:t>Results</w:t>
      </w:r>
    </w:p>
    <w:p w14:paraId="2318B8B7" w14:textId="75355F32" w:rsidR="00B456E7" w:rsidRPr="003131ED" w:rsidRDefault="00B456E7" w:rsidP="00D0468C">
      <w:pPr>
        <w:spacing w:line="360" w:lineRule="auto"/>
        <w:jc w:val="both"/>
        <w:rPr>
          <w:rFonts w:eastAsia="Arial"/>
          <w:b/>
          <w:sz w:val="22"/>
          <w:szCs w:val="22"/>
        </w:rPr>
      </w:pPr>
      <w:r w:rsidRPr="003131ED">
        <w:rPr>
          <w:rFonts w:eastAsia="Arial"/>
          <w:b/>
          <w:sz w:val="22"/>
          <w:szCs w:val="22"/>
        </w:rPr>
        <w:t xml:space="preserve">H63D HFE cells have increased iron and decreased </w:t>
      </w:r>
      <w:r w:rsidRPr="003131ED">
        <w:rPr>
          <w:rFonts w:eastAsia="Symbol"/>
          <w:b/>
          <w:sz w:val="22"/>
          <w:szCs w:val="22"/>
        </w:rPr>
        <w:sym w:font="Symbol" w:char="F061"/>
      </w:r>
      <w:r w:rsidRPr="003131ED">
        <w:rPr>
          <w:rFonts w:eastAsia="Arial"/>
          <w:b/>
          <w:sz w:val="22"/>
          <w:szCs w:val="22"/>
        </w:rPr>
        <w:t>-synuclein expression</w:t>
      </w:r>
    </w:p>
    <w:p w14:paraId="0739FA2A" w14:textId="3EE31311" w:rsidR="00B456E7" w:rsidRPr="003131ED" w:rsidRDefault="007C00B4" w:rsidP="00D0468C">
      <w:pPr>
        <w:spacing w:line="360" w:lineRule="auto"/>
        <w:jc w:val="both"/>
        <w:rPr>
          <w:rFonts w:eastAsia="Arial"/>
          <w:sz w:val="22"/>
          <w:szCs w:val="22"/>
        </w:rPr>
      </w:pPr>
      <w:r w:rsidRPr="003131ED">
        <w:rPr>
          <w:rFonts w:eastAsia="Arial"/>
          <w:sz w:val="22"/>
          <w:szCs w:val="22"/>
        </w:rPr>
        <w:t>The i</w:t>
      </w:r>
      <w:r w:rsidR="00B456E7" w:rsidRPr="003131ED">
        <w:rPr>
          <w:rFonts w:eastAsia="Arial"/>
          <w:sz w:val="22"/>
          <w:szCs w:val="22"/>
        </w:rPr>
        <w:t xml:space="preserve">ntracellular labile iron pool (LIP) was increased in SH-SY5Y </w:t>
      </w:r>
      <w:r w:rsidR="00C6153F" w:rsidRPr="003131ED">
        <w:rPr>
          <w:rFonts w:eastAsia="Arial"/>
          <w:sz w:val="22"/>
          <w:szCs w:val="22"/>
        </w:rPr>
        <w:t xml:space="preserve">neuroblastoma </w:t>
      </w:r>
      <w:r w:rsidR="00B456E7" w:rsidRPr="003131ED">
        <w:rPr>
          <w:rFonts w:eastAsia="Arial"/>
          <w:sz w:val="22"/>
          <w:szCs w:val="22"/>
        </w:rPr>
        <w:t xml:space="preserve">cells expressing H63D </w:t>
      </w:r>
      <w:r w:rsidR="00B456E7" w:rsidRPr="003131ED">
        <w:rPr>
          <w:rFonts w:eastAsia="Arial"/>
          <w:i/>
          <w:sz w:val="22"/>
          <w:szCs w:val="22"/>
        </w:rPr>
        <w:t>HFE</w:t>
      </w:r>
      <w:r w:rsidR="00B456E7" w:rsidRPr="003131ED">
        <w:rPr>
          <w:rFonts w:eastAsia="Arial"/>
          <w:sz w:val="22"/>
          <w:szCs w:val="22"/>
        </w:rPr>
        <w:t xml:space="preserve"> compared to wildtype, as shown by the decrease in calcein fluorescence (</w:t>
      </w:r>
      <w:r w:rsidR="00B456E7" w:rsidRPr="003131ED">
        <w:rPr>
          <w:rFonts w:eastAsia="Arial"/>
          <w:b/>
          <w:sz w:val="22"/>
          <w:szCs w:val="22"/>
        </w:rPr>
        <w:t xml:space="preserve">Fig. </w:t>
      </w:r>
      <w:r w:rsidR="00982F97" w:rsidRPr="003131ED">
        <w:rPr>
          <w:rFonts w:eastAsia="Arial"/>
          <w:b/>
          <w:sz w:val="22"/>
          <w:szCs w:val="22"/>
        </w:rPr>
        <w:t>2</w:t>
      </w:r>
      <w:r w:rsidR="00B456E7" w:rsidRPr="003131ED">
        <w:rPr>
          <w:rFonts w:eastAsia="Arial"/>
          <w:b/>
          <w:sz w:val="22"/>
          <w:szCs w:val="22"/>
        </w:rPr>
        <w:t>A</w:t>
      </w:r>
      <w:r w:rsidR="00B456E7" w:rsidRPr="003131ED">
        <w:rPr>
          <w:rFonts w:eastAsia="Arial"/>
          <w:sz w:val="22"/>
          <w:szCs w:val="22"/>
        </w:rPr>
        <w:t>). Calcein fluorescence is quenched by iron and therefore is inversely related to LIP. H-ferritin expres</w:t>
      </w:r>
      <w:r w:rsidR="00A675B7" w:rsidRPr="003131ED">
        <w:rPr>
          <w:rFonts w:eastAsia="Arial"/>
          <w:sz w:val="22"/>
          <w:szCs w:val="22"/>
        </w:rPr>
        <w:t xml:space="preserve">sion, which is controlled by </w:t>
      </w:r>
      <w:r w:rsidRPr="003131ED">
        <w:rPr>
          <w:rFonts w:eastAsia="Arial"/>
          <w:sz w:val="22"/>
          <w:szCs w:val="22"/>
        </w:rPr>
        <w:t>a</w:t>
      </w:r>
      <w:r w:rsidR="0001641A" w:rsidRPr="003131ED">
        <w:rPr>
          <w:rFonts w:eastAsia="Arial"/>
          <w:sz w:val="22"/>
          <w:szCs w:val="22"/>
        </w:rPr>
        <w:t>n</w:t>
      </w:r>
      <w:r w:rsidRPr="003131ED">
        <w:rPr>
          <w:rFonts w:eastAsia="Arial"/>
          <w:sz w:val="22"/>
          <w:szCs w:val="22"/>
        </w:rPr>
        <w:t xml:space="preserve"> </w:t>
      </w:r>
      <w:r w:rsidR="00A675B7" w:rsidRPr="003131ED">
        <w:rPr>
          <w:rFonts w:eastAsia="Arial"/>
          <w:sz w:val="22"/>
          <w:szCs w:val="22"/>
        </w:rPr>
        <w:t>iron response element and iron regulatory protein</w:t>
      </w:r>
      <w:r w:rsidR="00B456E7" w:rsidRPr="003131ED">
        <w:rPr>
          <w:rFonts w:eastAsia="Arial"/>
          <w:sz w:val="22"/>
          <w:szCs w:val="22"/>
        </w:rPr>
        <w:t xml:space="preserve"> interaction at the 5’-UTR, was increased in H63D </w:t>
      </w:r>
      <w:r w:rsidR="00B456E7" w:rsidRPr="003131ED">
        <w:rPr>
          <w:rFonts w:eastAsia="Arial"/>
          <w:i/>
          <w:sz w:val="22"/>
          <w:szCs w:val="22"/>
        </w:rPr>
        <w:t>HFE</w:t>
      </w:r>
      <w:r w:rsidR="00B456E7" w:rsidRPr="003131ED">
        <w:rPr>
          <w:rFonts w:eastAsia="Arial"/>
          <w:sz w:val="22"/>
          <w:szCs w:val="22"/>
        </w:rPr>
        <w:t xml:space="preserve"> cells (</w:t>
      </w:r>
      <w:r w:rsidR="00B456E7" w:rsidRPr="003131ED">
        <w:rPr>
          <w:rFonts w:eastAsia="Arial"/>
          <w:b/>
          <w:sz w:val="22"/>
          <w:szCs w:val="22"/>
        </w:rPr>
        <w:t xml:space="preserve">Fig. </w:t>
      </w:r>
      <w:r w:rsidR="00982F97" w:rsidRPr="003131ED">
        <w:rPr>
          <w:rFonts w:eastAsia="Arial"/>
          <w:b/>
          <w:sz w:val="22"/>
          <w:szCs w:val="22"/>
        </w:rPr>
        <w:t>2</w:t>
      </w:r>
      <w:r w:rsidR="00B456E7" w:rsidRPr="003131ED">
        <w:rPr>
          <w:rFonts w:eastAsia="Arial"/>
          <w:b/>
          <w:sz w:val="22"/>
          <w:szCs w:val="22"/>
        </w:rPr>
        <w:t>B</w:t>
      </w:r>
      <w:r w:rsidR="00B456E7" w:rsidRPr="003131ED">
        <w:rPr>
          <w:rFonts w:eastAsia="Arial"/>
          <w:sz w:val="22"/>
          <w:szCs w:val="22"/>
        </w:rPr>
        <w:t xml:space="preserve">). Collectively, these results confirm that intracellular iron is increased in the H63D </w:t>
      </w:r>
      <w:r w:rsidR="00B456E7" w:rsidRPr="003131ED">
        <w:rPr>
          <w:rFonts w:eastAsia="Arial"/>
          <w:i/>
          <w:sz w:val="22"/>
          <w:szCs w:val="22"/>
        </w:rPr>
        <w:t>HFE</w:t>
      </w:r>
      <w:r w:rsidR="00B456E7" w:rsidRPr="003131ED">
        <w:rPr>
          <w:rFonts w:eastAsia="Arial"/>
          <w:sz w:val="22"/>
          <w:szCs w:val="22"/>
        </w:rPr>
        <w:t xml:space="preserve"> SH-SY5Y cells. The consequence of H63D </w:t>
      </w:r>
      <w:r w:rsidR="00B456E7" w:rsidRPr="003131ED">
        <w:rPr>
          <w:rFonts w:eastAsia="Arial"/>
          <w:i/>
          <w:sz w:val="22"/>
          <w:szCs w:val="22"/>
        </w:rPr>
        <w:t>HFE</w:t>
      </w:r>
      <w:r w:rsidR="00B456E7" w:rsidRPr="003131ED">
        <w:rPr>
          <w:rFonts w:eastAsia="Arial"/>
          <w:sz w:val="22"/>
          <w:szCs w:val="22"/>
        </w:rPr>
        <w:t xml:space="preserve"> expression on </w:t>
      </w:r>
      <w:r w:rsidR="00B456E7" w:rsidRPr="003131ED">
        <w:rPr>
          <w:rFonts w:eastAsia="Arial"/>
          <w:sz w:val="22"/>
          <w:szCs w:val="22"/>
        </w:rPr>
        <w:sym w:font="Symbol" w:char="F061"/>
      </w:r>
      <w:r w:rsidR="00B456E7" w:rsidRPr="003131ED">
        <w:rPr>
          <w:rFonts w:eastAsia="Arial"/>
          <w:sz w:val="22"/>
          <w:szCs w:val="22"/>
        </w:rPr>
        <w:t>-synuclein expression was investigated by western blot (</w:t>
      </w:r>
      <w:r w:rsidR="00B456E7" w:rsidRPr="003131ED">
        <w:rPr>
          <w:rFonts w:eastAsia="Arial"/>
          <w:b/>
          <w:sz w:val="22"/>
          <w:szCs w:val="22"/>
        </w:rPr>
        <w:t xml:space="preserve">Fig. </w:t>
      </w:r>
      <w:r w:rsidR="00982F97" w:rsidRPr="003131ED">
        <w:rPr>
          <w:rFonts w:eastAsia="Arial"/>
          <w:b/>
          <w:sz w:val="22"/>
          <w:szCs w:val="22"/>
        </w:rPr>
        <w:t>2</w:t>
      </w:r>
      <w:r w:rsidR="00B456E7" w:rsidRPr="003131ED">
        <w:rPr>
          <w:rFonts w:eastAsia="Arial"/>
          <w:b/>
          <w:sz w:val="22"/>
          <w:szCs w:val="22"/>
        </w:rPr>
        <w:t>C</w:t>
      </w:r>
      <w:r w:rsidR="00B456E7" w:rsidRPr="003131ED">
        <w:rPr>
          <w:rFonts w:eastAsia="Arial"/>
          <w:sz w:val="22"/>
          <w:szCs w:val="22"/>
        </w:rPr>
        <w:t>) and ELISA (</w:t>
      </w:r>
      <w:r w:rsidR="00B456E7" w:rsidRPr="003131ED">
        <w:rPr>
          <w:rFonts w:eastAsia="Arial"/>
          <w:b/>
          <w:sz w:val="22"/>
          <w:szCs w:val="22"/>
        </w:rPr>
        <w:t xml:space="preserve">Fig. </w:t>
      </w:r>
      <w:r w:rsidR="00982F97" w:rsidRPr="003131ED">
        <w:rPr>
          <w:rFonts w:eastAsia="Arial"/>
          <w:b/>
          <w:sz w:val="22"/>
          <w:szCs w:val="22"/>
        </w:rPr>
        <w:t>2</w:t>
      </w:r>
      <w:r w:rsidR="00B456E7" w:rsidRPr="003131ED">
        <w:rPr>
          <w:rFonts w:eastAsia="Arial"/>
          <w:b/>
          <w:sz w:val="22"/>
          <w:szCs w:val="22"/>
        </w:rPr>
        <w:t>D</w:t>
      </w:r>
      <w:r w:rsidR="00B456E7" w:rsidRPr="003131ED">
        <w:rPr>
          <w:rFonts w:eastAsia="Arial"/>
          <w:sz w:val="22"/>
          <w:szCs w:val="22"/>
        </w:rPr>
        <w:t xml:space="preserve">), </w:t>
      </w:r>
      <w:r w:rsidR="004246FC" w:rsidRPr="003131ED">
        <w:rPr>
          <w:rFonts w:eastAsia="Arial"/>
          <w:sz w:val="22"/>
          <w:szCs w:val="22"/>
        </w:rPr>
        <w:t xml:space="preserve">both of which demonstrated </w:t>
      </w:r>
      <w:r w:rsidR="00B456E7" w:rsidRPr="003131ED">
        <w:rPr>
          <w:rFonts w:eastAsia="Arial"/>
          <w:sz w:val="22"/>
          <w:szCs w:val="22"/>
        </w:rPr>
        <w:t xml:space="preserve">significantly lower </w:t>
      </w:r>
      <w:r w:rsidR="00B456E7" w:rsidRPr="003131ED">
        <w:rPr>
          <w:rFonts w:eastAsia="Arial"/>
          <w:sz w:val="22"/>
          <w:szCs w:val="22"/>
        </w:rPr>
        <w:sym w:font="Symbol" w:char="F061"/>
      </w:r>
      <w:r w:rsidR="00B456E7" w:rsidRPr="003131ED">
        <w:rPr>
          <w:rFonts w:eastAsia="Arial"/>
          <w:sz w:val="22"/>
          <w:szCs w:val="22"/>
        </w:rPr>
        <w:t xml:space="preserve">-synuclein level in H63D </w:t>
      </w:r>
      <w:r w:rsidR="00B456E7" w:rsidRPr="003131ED">
        <w:rPr>
          <w:rFonts w:eastAsia="Arial"/>
          <w:i/>
          <w:sz w:val="22"/>
          <w:szCs w:val="22"/>
        </w:rPr>
        <w:t>HFE</w:t>
      </w:r>
      <w:r w:rsidR="00B456E7" w:rsidRPr="003131ED">
        <w:rPr>
          <w:rFonts w:eastAsia="Arial"/>
          <w:sz w:val="22"/>
          <w:szCs w:val="22"/>
        </w:rPr>
        <w:t xml:space="preserve"> cells</w:t>
      </w:r>
      <w:r w:rsidR="004246FC" w:rsidRPr="003131ED">
        <w:rPr>
          <w:rFonts w:eastAsia="Arial"/>
          <w:sz w:val="22"/>
          <w:szCs w:val="22"/>
        </w:rPr>
        <w:t xml:space="preserve"> compared to WT cells.</w:t>
      </w:r>
    </w:p>
    <w:p w14:paraId="46556928" w14:textId="77777777" w:rsidR="00902FEA" w:rsidRPr="003131ED" w:rsidRDefault="00902FEA" w:rsidP="00D0468C">
      <w:pPr>
        <w:spacing w:line="360" w:lineRule="auto"/>
        <w:jc w:val="both"/>
        <w:rPr>
          <w:b/>
          <w:sz w:val="22"/>
          <w:szCs w:val="22"/>
        </w:rPr>
      </w:pPr>
    </w:p>
    <w:p w14:paraId="591C6889" w14:textId="3D632130" w:rsidR="00B456E7" w:rsidRPr="003131ED" w:rsidRDefault="00B456E7" w:rsidP="00D0468C">
      <w:pPr>
        <w:spacing w:line="360" w:lineRule="auto"/>
        <w:jc w:val="both"/>
        <w:rPr>
          <w:rFonts w:eastAsia="Arial"/>
          <w:b/>
          <w:sz w:val="22"/>
          <w:szCs w:val="22"/>
        </w:rPr>
      </w:pPr>
      <w:r w:rsidRPr="003131ED">
        <w:rPr>
          <w:rFonts w:eastAsia="Arial"/>
          <w:b/>
          <w:sz w:val="22"/>
          <w:szCs w:val="22"/>
        </w:rPr>
        <w:t xml:space="preserve">H63D HFE decreases PFF induced </w:t>
      </w:r>
      <w:r w:rsidRPr="003131ED">
        <w:rPr>
          <w:rFonts w:eastAsia="Symbol"/>
          <w:b/>
          <w:sz w:val="22"/>
          <w:szCs w:val="22"/>
        </w:rPr>
        <w:sym w:font="Symbol" w:char="F061"/>
      </w:r>
      <w:r w:rsidRPr="003131ED">
        <w:rPr>
          <w:rFonts w:eastAsia="Arial"/>
          <w:b/>
          <w:sz w:val="22"/>
          <w:szCs w:val="22"/>
        </w:rPr>
        <w:t>-synuclein aggregation and cell death</w:t>
      </w:r>
    </w:p>
    <w:p w14:paraId="2EFCC3AA" w14:textId="551BABF2" w:rsidR="00B456E7" w:rsidRPr="003131ED" w:rsidRDefault="00B456E7" w:rsidP="00D0468C">
      <w:pPr>
        <w:spacing w:line="360" w:lineRule="auto"/>
        <w:jc w:val="both"/>
        <w:rPr>
          <w:rFonts w:eastAsia="Arial"/>
          <w:sz w:val="22"/>
          <w:szCs w:val="22"/>
        </w:rPr>
      </w:pPr>
      <w:r w:rsidRPr="003131ED">
        <w:rPr>
          <w:rFonts w:eastAsia="Arial"/>
          <w:sz w:val="22"/>
          <w:szCs w:val="22"/>
        </w:rPr>
        <w:sym w:font="Symbol" w:char="F061"/>
      </w:r>
      <w:r w:rsidRPr="003131ED">
        <w:rPr>
          <w:rFonts w:eastAsia="Arial"/>
          <w:sz w:val="22"/>
          <w:szCs w:val="22"/>
        </w:rPr>
        <w:t xml:space="preserve">-Synuclein preformed-fibrils were used to induce </w:t>
      </w:r>
      <w:r w:rsidRPr="003131ED">
        <w:rPr>
          <w:rFonts w:eastAsia="Arial"/>
          <w:sz w:val="22"/>
          <w:szCs w:val="22"/>
        </w:rPr>
        <w:sym w:font="Symbol" w:char="F061"/>
      </w:r>
      <w:r w:rsidRPr="003131ED">
        <w:rPr>
          <w:rFonts w:eastAsia="Arial"/>
          <w:sz w:val="22"/>
          <w:szCs w:val="22"/>
        </w:rPr>
        <w:t xml:space="preserve">-synuclein aggregation in WT and H63D </w:t>
      </w:r>
      <w:r w:rsidRPr="003131ED">
        <w:rPr>
          <w:rFonts w:eastAsia="Arial"/>
          <w:i/>
          <w:sz w:val="22"/>
          <w:szCs w:val="22"/>
        </w:rPr>
        <w:t xml:space="preserve">HFE </w:t>
      </w:r>
      <w:r w:rsidRPr="003131ED">
        <w:rPr>
          <w:rFonts w:eastAsia="Arial"/>
          <w:sz w:val="22"/>
          <w:szCs w:val="22"/>
        </w:rPr>
        <w:t>expressing SH-SY5Y cells. PFF formation was confirmed by sedimentation and Thioflavin T fluorescence (</w:t>
      </w:r>
      <w:r w:rsidR="005B42ED" w:rsidRPr="003131ED">
        <w:rPr>
          <w:rFonts w:eastAsia="Arial"/>
          <w:b/>
          <w:sz w:val="22"/>
          <w:szCs w:val="22"/>
        </w:rPr>
        <w:t>Supplemental</w:t>
      </w:r>
      <w:r w:rsidRPr="003131ED">
        <w:rPr>
          <w:rFonts w:eastAsia="Arial"/>
          <w:b/>
          <w:sz w:val="22"/>
          <w:szCs w:val="22"/>
        </w:rPr>
        <w:t xml:space="preserve"> Fig. </w:t>
      </w:r>
      <w:r w:rsidR="00982F97" w:rsidRPr="003131ED">
        <w:rPr>
          <w:rFonts w:eastAsia="Arial"/>
          <w:b/>
          <w:sz w:val="22"/>
          <w:szCs w:val="22"/>
        </w:rPr>
        <w:t>1</w:t>
      </w:r>
      <w:r w:rsidR="008E7EA0" w:rsidRPr="003131ED">
        <w:rPr>
          <w:rFonts w:eastAsia="Arial"/>
          <w:b/>
          <w:sz w:val="22"/>
          <w:szCs w:val="22"/>
        </w:rPr>
        <w:t>A, Supplemental Fig. 1B</w:t>
      </w:r>
      <w:r w:rsidRPr="003131ED">
        <w:rPr>
          <w:rFonts w:eastAsia="Arial"/>
          <w:sz w:val="22"/>
          <w:szCs w:val="22"/>
        </w:rPr>
        <w:t xml:space="preserve">). </w:t>
      </w:r>
      <w:r w:rsidR="008E7EA0" w:rsidRPr="003131ED">
        <w:rPr>
          <w:rFonts w:eastAsia="Arial"/>
          <w:sz w:val="22"/>
          <w:szCs w:val="22"/>
        </w:rPr>
        <w:t xml:space="preserve">Expression of putative receptors for </w:t>
      </w:r>
      <w:r w:rsidR="008E7EA0" w:rsidRPr="003131ED">
        <w:rPr>
          <w:rFonts w:eastAsia="Arial"/>
          <w:sz w:val="22"/>
          <w:szCs w:val="22"/>
        </w:rPr>
        <w:sym w:font="Symbol" w:char="F061"/>
      </w:r>
      <w:r w:rsidR="008E7EA0" w:rsidRPr="003131ED">
        <w:rPr>
          <w:rFonts w:eastAsia="Arial"/>
          <w:sz w:val="22"/>
          <w:szCs w:val="22"/>
        </w:rPr>
        <w:t>-synuclein PFFs in WT and H63D HFE cells were confirmed using western blot (</w:t>
      </w:r>
      <w:r w:rsidR="008E7EA0" w:rsidRPr="003131ED">
        <w:rPr>
          <w:rFonts w:eastAsia="Arial"/>
          <w:b/>
          <w:sz w:val="22"/>
          <w:szCs w:val="22"/>
        </w:rPr>
        <w:t>Supplemental Fig. 1C, Supplemental Fig. 1D</w:t>
      </w:r>
      <w:r w:rsidR="008E7EA0" w:rsidRPr="003131ED">
        <w:rPr>
          <w:rFonts w:eastAsia="Arial"/>
          <w:sz w:val="22"/>
          <w:szCs w:val="22"/>
        </w:rPr>
        <w:t xml:space="preserve">). </w:t>
      </w:r>
      <w:r w:rsidRPr="003131ED">
        <w:rPr>
          <w:rFonts w:eastAsia="Arial"/>
          <w:sz w:val="22"/>
          <w:szCs w:val="22"/>
        </w:rPr>
        <w:t xml:space="preserve">Cells were treated with 1.5uM </w:t>
      </w:r>
      <w:r w:rsidRPr="003131ED">
        <w:rPr>
          <w:rFonts w:eastAsia="Arial"/>
          <w:sz w:val="22"/>
          <w:szCs w:val="22"/>
        </w:rPr>
        <w:sym w:font="Symbol" w:char="F061"/>
      </w:r>
      <w:r w:rsidRPr="003131ED">
        <w:rPr>
          <w:rFonts w:eastAsia="Arial"/>
          <w:sz w:val="22"/>
          <w:szCs w:val="22"/>
        </w:rPr>
        <w:t>-syn</w:t>
      </w:r>
      <w:r w:rsidR="005B42ED" w:rsidRPr="003131ED">
        <w:rPr>
          <w:rFonts w:eastAsia="Arial"/>
          <w:sz w:val="22"/>
          <w:szCs w:val="22"/>
        </w:rPr>
        <w:t>uclein</w:t>
      </w:r>
      <w:r w:rsidRPr="003131ED">
        <w:rPr>
          <w:rFonts w:eastAsia="Arial"/>
          <w:sz w:val="22"/>
          <w:szCs w:val="22"/>
        </w:rPr>
        <w:t xml:space="preserve"> monomer or PFF for 7 days, then stained with Thioflavin S (ThS), anti-</w:t>
      </w:r>
      <w:r w:rsidRPr="003131ED">
        <w:rPr>
          <w:rFonts w:eastAsia="Arial"/>
          <w:sz w:val="22"/>
          <w:szCs w:val="22"/>
        </w:rPr>
        <w:sym w:font="Symbol" w:char="F061"/>
      </w:r>
      <w:r w:rsidR="005B42ED" w:rsidRPr="003131ED">
        <w:rPr>
          <w:rFonts w:eastAsia="Arial"/>
          <w:sz w:val="22"/>
          <w:szCs w:val="22"/>
        </w:rPr>
        <w:t>-s</w:t>
      </w:r>
      <w:r w:rsidRPr="003131ED">
        <w:rPr>
          <w:rFonts w:eastAsia="Arial"/>
          <w:sz w:val="22"/>
          <w:szCs w:val="22"/>
        </w:rPr>
        <w:t>yn</w:t>
      </w:r>
      <w:r w:rsidR="005B42ED" w:rsidRPr="003131ED">
        <w:rPr>
          <w:rFonts w:eastAsia="Arial"/>
          <w:sz w:val="22"/>
          <w:szCs w:val="22"/>
        </w:rPr>
        <w:t>uclein</w:t>
      </w:r>
      <w:r w:rsidRPr="003131ED">
        <w:rPr>
          <w:rFonts w:eastAsia="Arial"/>
          <w:sz w:val="22"/>
          <w:szCs w:val="22"/>
        </w:rPr>
        <w:t xml:space="preserve"> antibody, and </w:t>
      </w:r>
      <w:r w:rsidR="005B42ED" w:rsidRPr="003131ED">
        <w:rPr>
          <w:rFonts w:eastAsia="Arial"/>
          <w:sz w:val="22"/>
          <w:szCs w:val="22"/>
        </w:rPr>
        <w:t xml:space="preserve">4′,6-diamidino-2-phenylindole (DAPI) stain </w:t>
      </w:r>
      <w:r w:rsidR="00A7600F" w:rsidRPr="003131ED">
        <w:rPr>
          <w:rFonts w:eastAsia="Arial"/>
          <w:sz w:val="22"/>
          <w:szCs w:val="22"/>
        </w:rPr>
        <w:t xml:space="preserve">as the nuclear stain </w:t>
      </w:r>
      <w:r w:rsidRPr="003131ED">
        <w:rPr>
          <w:rFonts w:eastAsia="Arial"/>
          <w:sz w:val="22"/>
          <w:szCs w:val="22"/>
        </w:rPr>
        <w:t>(</w:t>
      </w:r>
      <w:r w:rsidRPr="003131ED">
        <w:rPr>
          <w:rFonts w:eastAsia="Arial"/>
          <w:b/>
          <w:sz w:val="22"/>
          <w:szCs w:val="22"/>
        </w:rPr>
        <w:t xml:space="preserve">Fig. </w:t>
      </w:r>
      <w:r w:rsidR="00982F97" w:rsidRPr="003131ED">
        <w:rPr>
          <w:rFonts w:eastAsia="Arial"/>
          <w:b/>
          <w:sz w:val="22"/>
          <w:szCs w:val="22"/>
        </w:rPr>
        <w:t>3</w:t>
      </w:r>
      <w:r w:rsidRPr="003131ED">
        <w:rPr>
          <w:rFonts w:eastAsia="Arial"/>
          <w:b/>
          <w:sz w:val="22"/>
          <w:szCs w:val="22"/>
        </w:rPr>
        <w:t>A</w:t>
      </w:r>
      <w:r w:rsidRPr="003131ED">
        <w:rPr>
          <w:rFonts w:eastAsia="Arial"/>
          <w:sz w:val="22"/>
          <w:szCs w:val="22"/>
        </w:rPr>
        <w:t xml:space="preserve">). Fold change </w:t>
      </w:r>
      <w:r w:rsidR="00114E52" w:rsidRPr="003131ED">
        <w:rPr>
          <w:rFonts w:eastAsia="Arial"/>
          <w:sz w:val="22"/>
          <w:szCs w:val="22"/>
        </w:rPr>
        <w:t xml:space="preserve">(PFF/monomer) </w:t>
      </w:r>
      <w:r w:rsidRPr="003131ED">
        <w:rPr>
          <w:rFonts w:eastAsia="Arial"/>
          <w:sz w:val="22"/>
          <w:szCs w:val="22"/>
        </w:rPr>
        <w:t xml:space="preserve">in corrected total fluorescence </w:t>
      </w:r>
      <w:r w:rsidR="006066C6" w:rsidRPr="003131ED">
        <w:rPr>
          <w:rFonts w:eastAsia="Arial"/>
          <w:sz w:val="22"/>
          <w:szCs w:val="22"/>
        </w:rPr>
        <w:t>(C</w:t>
      </w:r>
      <w:r w:rsidR="009D5FC6" w:rsidRPr="003131ED">
        <w:rPr>
          <w:rFonts w:eastAsia="Arial"/>
          <w:sz w:val="22"/>
          <w:szCs w:val="22"/>
        </w:rPr>
        <w:t>TF</w:t>
      </w:r>
      <w:r w:rsidR="006066C6" w:rsidRPr="003131ED">
        <w:rPr>
          <w:rFonts w:eastAsia="Arial"/>
          <w:sz w:val="22"/>
          <w:szCs w:val="22"/>
        </w:rPr>
        <w:t xml:space="preserve">) </w:t>
      </w:r>
      <w:r w:rsidRPr="003131ED">
        <w:rPr>
          <w:rFonts w:eastAsia="Arial"/>
          <w:sz w:val="22"/>
          <w:szCs w:val="22"/>
        </w:rPr>
        <w:t xml:space="preserve">for ThS and </w:t>
      </w:r>
      <w:r w:rsidRPr="003131ED">
        <w:rPr>
          <w:rFonts w:eastAsia="Arial"/>
          <w:sz w:val="22"/>
          <w:szCs w:val="22"/>
        </w:rPr>
        <w:sym w:font="Symbol" w:char="F061"/>
      </w:r>
      <w:r w:rsidR="00A33C99" w:rsidRPr="003131ED">
        <w:rPr>
          <w:rFonts w:eastAsia="Arial"/>
          <w:sz w:val="22"/>
          <w:szCs w:val="22"/>
        </w:rPr>
        <w:t xml:space="preserve">-synuclein </w:t>
      </w:r>
      <w:r w:rsidRPr="003131ED">
        <w:rPr>
          <w:rFonts w:eastAsia="Arial"/>
          <w:sz w:val="22"/>
          <w:szCs w:val="22"/>
        </w:rPr>
        <w:t xml:space="preserve">was decreased for H63D </w:t>
      </w:r>
      <w:r w:rsidRPr="003131ED">
        <w:rPr>
          <w:rFonts w:eastAsia="Arial"/>
          <w:i/>
          <w:sz w:val="22"/>
          <w:szCs w:val="22"/>
        </w:rPr>
        <w:t xml:space="preserve">HFE </w:t>
      </w:r>
      <w:r w:rsidRPr="003131ED">
        <w:rPr>
          <w:rFonts w:eastAsia="Arial"/>
          <w:sz w:val="22"/>
          <w:szCs w:val="22"/>
        </w:rPr>
        <w:t xml:space="preserve">cells, indicating </w:t>
      </w:r>
      <w:r w:rsidR="006152D0" w:rsidRPr="003131ED">
        <w:rPr>
          <w:rFonts w:eastAsia="Arial"/>
          <w:sz w:val="22"/>
          <w:szCs w:val="22"/>
        </w:rPr>
        <w:t xml:space="preserve">lower level of </w:t>
      </w:r>
      <w:r w:rsidRPr="003131ED">
        <w:rPr>
          <w:rFonts w:eastAsia="Arial"/>
          <w:sz w:val="22"/>
          <w:szCs w:val="22"/>
        </w:rPr>
        <w:sym w:font="Symbol" w:char="F061"/>
      </w:r>
      <w:r w:rsidRPr="003131ED">
        <w:rPr>
          <w:rFonts w:eastAsia="Arial"/>
          <w:sz w:val="22"/>
          <w:szCs w:val="22"/>
        </w:rPr>
        <w:t>-syn</w:t>
      </w:r>
      <w:r w:rsidR="00A33C99" w:rsidRPr="003131ED">
        <w:rPr>
          <w:rFonts w:eastAsia="Arial"/>
          <w:sz w:val="22"/>
          <w:szCs w:val="22"/>
        </w:rPr>
        <w:t>uclein</w:t>
      </w:r>
      <w:r w:rsidRPr="003131ED">
        <w:rPr>
          <w:rFonts w:eastAsia="Arial"/>
          <w:sz w:val="22"/>
          <w:szCs w:val="22"/>
        </w:rPr>
        <w:t xml:space="preserve"> aggregation (</w:t>
      </w:r>
      <w:r w:rsidRPr="003131ED">
        <w:rPr>
          <w:rFonts w:eastAsia="Arial"/>
          <w:b/>
          <w:sz w:val="22"/>
          <w:szCs w:val="22"/>
        </w:rPr>
        <w:t xml:space="preserve">Fig. </w:t>
      </w:r>
      <w:r w:rsidR="00982F97" w:rsidRPr="003131ED">
        <w:rPr>
          <w:rFonts w:eastAsia="Arial"/>
          <w:b/>
          <w:sz w:val="22"/>
          <w:szCs w:val="22"/>
        </w:rPr>
        <w:t>3</w:t>
      </w:r>
      <w:r w:rsidRPr="003131ED">
        <w:rPr>
          <w:rFonts w:eastAsia="Arial"/>
          <w:b/>
          <w:sz w:val="22"/>
          <w:szCs w:val="22"/>
        </w:rPr>
        <w:t>B</w:t>
      </w:r>
      <w:r w:rsidRPr="003131ED">
        <w:rPr>
          <w:rFonts w:eastAsia="Arial"/>
          <w:sz w:val="22"/>
          <w:szCs w:val="22"/>
        </w:rPr>
        <w:t xml:space="preserve">). </w:t>
      </w:r>
      <w:r w:rsidR="004C5FC1" w:rsidRPr="003131ED">
        <w:rPr>
          <w:rFonts w:eastAsia="Arial"/>
          <w:sz w:val="22"/>
          <w:szCs w:val="22"/>
        </w:rPr>
        <w:t>C</w:t>
      </w:r>
      <w:r w:rsidR="006152D0" w:rsidRPr="003131ED">
        <w:rPr>
          <w:rFonts w:eastAsia="Arial"/>
          <w:sz w:val="22"/>
          <w:szCs w:val="22"/>
        </w:rPr>
        <w:t>T</w:t>
      </w:r>
      <w:r w:rsidR="004C5FC1" w:rsidRPr="003131ED">
        <w:rPr>
          <w:rFonts w:eastAsia="Arial"/>
          <w:sz w:val="22"/>
          <w:szCs w:val="22"/>
        </w:rPr>
        <w:t xml:space="preserve">F was calculated by subtracting background intensity from integrated fluorescence density. </w:t>
      </w:r>
      <w:r w:rsidRPr="003131ED">
        <w:rPr>
          <w:rFonts w:eastAsia="Arial"/>
          <w:sz w:val="22"/>
          <w:szCs w:val="22"/>
        </w:rPr>
        <w:t xml:space="preserve">This was confirmed with time course experiments </w:t>
      </w:r>
      <w:r w:rsidR="00BF246F" w:rsidRPr="003131ED">
        <w:rPr>
          <w:rFonts w:eastAsia="Arial"/>
          <w:sz w:val="22"/>
          <w:szCs w:val="22"/>
        </w:rPr>
        <w:t>in which</w:t>
      </w:r>
      <w:r w:rsidRPr="003131ED">
        <w:rPr>
          <w:rFonts w:eastAsia="Arial"/>
          <w:sz w:val="22"/>
          <w:szCs w:val="22"/>
        </w:rPr>
        <w:t xml:space="preserve"> Thioflavin T fluorescence was measured from cell culture media collected 3, 5, and 7 days post-PFF treatment (</w:t>
      </w:r>
      <w:r w:rsidRPr="003131ED">
        <w:rPr>
          <w:rFonts w:eastAsia="Arial"/>
          <w:b/>
          <w:sz w:val="22"/>
          <w:szCs w:val="22"/>
        </w:rPr>
        <w:t xml:space="preserve">Fig. </w:t>
      </w:r>
      <w:r w:rsidR="00982F97" w:rsidRPr="003131ED">
        <w:rPr>
          <w:rFonts w:eastAsia="Arial"/>
          <w:b/>
          <w:sz w:val="22"/>
          <w:szCs w:val="22"/>
        </w:rPr>
        <w:t>3</w:t>
      </w:r>
      <w:r w:rsidRPr="003131ED">
        <w:rPr>
          <w:rFonts w:eastAsia="Arial"/>
          <w:b/>
          <w:sz w:val="22"/>
          <w:szCs w:val="22"/>
        </w:rPr>
        <w:t>C</w:t>
      </w:r>
      <w:r w:rsidRPr="003131ED">
        <w:rPr>
          <w:rFonts w:eastAsia="Arial"/>
          <w:sz w:val="22"/>
          <w:szCs w:val="22"/>
        </w:rPr>
        <w:t xml:space="preserve">). By day 7 post-treatment, ThT fluorescence was significantly higher </w:t>
      </w:r>
      <w:r w:rsidR="0030741A" w:rsidRPr="003131ED">
        <w:rPr>
          <w:rFonts w:eastAsia="Arial"/>
          <w:sz w:val="22"/>
          <w:szCs w:val="22"/>
        </w:rPr>
        <w:t xml:space="preserve">in media collected </w:t>
      </w:r>
      <w:r w:rsidRPr="003131ED">
        <w:rPr>
          <w:rFonts w:eastAsia="Arial"/>
          <w:sz w:val="22"/>
          <w:szCs w:val="22"/>
        </w:rPr>
        <w:t xml:space="preserve">from WT </w:t>
      </w:r>
      <w:r w:rsidRPr="003131ED">
        <w:rPr>
          <w:rFonts w:eastAsia="Arial"/>
          <w:i/>
          <w:sz w:val="22"/>
          <w:szCs w:val="22"/>
        </w:rPr>
        <w:t>HFE</w:t>
      </w:r>
      <w:r w:rsidRPr="003131ED">
        <w:rPr>
          <w:rFonts w:eastAsia="Arial"/>
          <w:sz w:val="22"/>
          <w:szCs w:val="22"/>
        </w:rPr>
        <w:t xml:space="preserve"> cell</w:t>
      </w:r>
      <w:r w:rsidR="0030741A" w:rsidRPr="003131ED">
        <w:rPr>
          <w:rFonts w:eastAsia="Arial"/>
          <w:sz w:val="22"/>
          <w:szCs w:val="22"/>
        </w:rPr>
        <w:t>s</w:t>
      </w:r>
      <w:r w:rsidRPr="003131ED">
        <w:rPr>
          <w:rFonts w:eastAsia="Arial"/>
          <w:sz w:val="22"/>
          <w:szCs w:val="22"/>
        </w:rPr>
        <w:t xml:space="preserve">. Similarly, </w:t>
      </w:r>
      <w:r w:rsidRPr="003131ED">
        <w:rPr>
          <w:rFonts w:eastAsia="Arial"/>
          <w:sz w:val="22"/>
          <w:szCs w:val="22"/>
        </w:rPr>
        <w:sym w:font="Symbol" w:char="F061"/>
      </w:r>
      <w:r w:rsidRPr="003131ED">
        <w:rPr>
          <w:rFonts w:eastAsia="Arial"/>
          <w:sz w:val="22"/>
          <w:szCs w:val="22"/>
        </w:rPr>
        <w:t xml:space="preserve">-synuclein western blots were performed </w:t>
      </w:r>
      <w:r w:rsidR="0030741A" w:rsidRPr="003131ED">
        <w:rPr>
          <w:rFonts w:eastAsia="Arial"/>
          <w:sz w:val="22"/>
          <w:szCs w:val="22"/>
        </w:rPr>
        <w:t>using</w:t>
      </w:r>
      <w:r w:rsidRPr="003131ED">
        <w:rPr>
          <w:rFonts w:eastAsia="Arial"/>
          <w:sz w:val="22"/>
          <w:szCs w:val="22"/>
        </w:rPr>
        <w:t xml:space="preserve"> </w:t>
      </w:r>
      <w:r w:rsidR="0030741A" w:rsidRPr="003131ED">
        <w:rPr>
          <w:rFonts w:eastAsia="Arial"/>
          <w:sz w:val="22"/>
          <w:szCs w:val="22"/>
        </w:rPr>
        <w:t>whole-</w:t>
      </w:r>
      <w:r w:rsidRPr="003131ED">
        <w:rPr>
          <w:rFonts w:eastAsia="Arial"/>
          <w:sz w:val="22"/>
          <w:szCs w:val="22"/>
        </w:rPr>
        <w:t xml:space="preserve">cell lysates </w:t>
      </w:r>
      <w:r w:rsidR="0030741A" w:rsidRPr="003131ED">
        <w:rPr>
          <w:rFonts w:eastAsia="Arial"/>
          <w:sz w:val="22"/>
          <w:szCs w:val="22"/>
        </w:rPr>
        <w:t>prepared</w:t>
      </w:r>
      <w:r w:rsidRPr="003131ED">
        <w:rPr>
          <w:rFonts w:eastAsia="Arial"/>
          <w:sz w:val="22"/>
          <w:szCs w:val="22"/>
        </w:rPr>
        <w:t xml:space="preserve"> 3, 5, and 7 days post-PFF treatment (</w:t>
      </w:r>
      <w:r w:rsidRPr="003131ED">
        <w:rPr>
          <w:rFonts w:eastAsia="Arial"/>
          <w:b/>
          <w:sz w:val="22"/>
          <w:szCs w:val="22"/>
        </w:rPr>
        <w:t xml:space="preserve">Fig. </w:t>
      </w:r>
      <w:r w:rsidR="00FF6D54" w:rsidRPr="003131ED">
        <w:rPr>
          <w:rFonts w:eastAsia="Arial"/>
          <w:b/>
          <w:sz w:val="22"/>
          <w:szCs w:val="22"/>
        </w:rPr>
        <w:t>3</w:t>
      </w:r>
      <w:r w:rsidRPr="003131ED">
        <w:rPr>
          <w:rFonts w:eastAsia="Arial"/>
          <w:b/>
          <w:sz w:val="22"/>
          <w:szCs w:val="22"/>
        </w:rPr>
        <w:t>D</w:t>
      </w:r>
      <w:r w:rsidRPr="003131ED">
        <w:rPr>
          <w:rFonts w:eastAsia="Arial"/>
          <w:sz w:val="22"/>
          <w:szCs w:val="22"/>
        </w:rPr>
        <w:t xml:space="preserve">). At all time-points, </w:t>
      </w:r>
      <w:r w:rsidR="00601D00" w:rsidRPr="003131ED">
        <w:rPr>
          <w:rFonts w:eastAsia="Arial"/>
          <w:sz w:val="22"/>
          <w:szCs w:val="22"/>
        </w:rPr>
        <w:t xml:space="preserve">the </w:t>
      </w:r>
      <w:r w:rsidRPr="003131ED">
        <w:rPr>
          <w:rFonts w:eastAsia="Arial"/>
          <w:sz w:val="22"/>
          <w:szCs w:val="22"/>
        </w:rPr>
        <w:t xml:space="preserve">total </w:t>
      </w:r>
      <w:r w:rsidRPr="003131ED">
        <w:rPr>
          <w:rFonts w:eastAsia="Arial"/>
          <w:sz w:val="22"/>
          <w:szCs w:val="22"/>
        </w:rPr>
        <w:sym w:font="Symbol" w:char="F061"/>
      </w:r>
      <w:r w:rsidRPr="003131ED">
        <w:rPr>
          <w:rFonts w:eastAsia="Arial"/>
          <w:sz w:val="22"/>
          <w:szCs w:val="22"/>
        </w:rPr>
        <w:t xml:space="preserve">-synuclein level was higher in WT </w:t>
      </w:r>
      <w:r w:rsidRPr="003131ED">
        <w:rPr>
          <w:rFonts w:eastAsia="Arial"/>
          <w:i/>
          <w:sz w:val="22"/>
          <w:szCs w:val="22"/>
        </w:rPr>
        <w:t>HFE</w:t>
      </w:r>
      <w:r w:rsidRPr="003131ED">
        <w:rPr>
          <w:rFonts w:eastAsia="Arial"/>
          <w:sz w:val="22"/>
          <w:szCs w:val="22"/>
        </w:rPr>
        <w:t xml:space="preserve"> cells</w:t>
      </w:r>
      <w:r w:rsidR="00973016" w:rsidRPr="003131ED">
        <w:rPr>
          <w:rFonts w:eastAsia="Arial"/>
          <w:sz w:val="22"/>
          <w:szCs w:val="22"/>
        </w:rPr>
        <w:t xml:space="preserve"> than in H63D </w:t>
      </w:r>
      <w:r w:rsidR="00973016" w:rsidRPr="003131ED">
        <w:rPr>
          <w:rFonts w:eastAsia="Arial"/>
          <w:i/>
          <w:sz w:val="22"/>
          <w:szCs w:val="22"/>
        </w:rPr>
        <w:t>HFE</w:t>
      </w:r>
      <w:r w:rsidR="00973016" w:rsidRPr="003131ED">
        <w:rPr>
          <w:rFonts w:eastAsia="Arial"/>
          <w:sz w:val="22"/>
          <w:szCs w:val="22"/>
        </w:rPr>
        <w:t xml:space="preserve"> cells</w:t>
      </w:r>
      <w:r w:rsidRPr="003131ED">
        <w:rPr>
          <w:rFonts w:eastAsia="Arial"/>
          <w:sz w:val="22"/>
          <w:szCs w:val="22"/>
        </w:rPr>
        <w:t>.</w:t>
      </w:r>
      <w:r w:rsidR="00973016" w:rsidRPr="003131ED">
        <w:rPr>
          <w:rFonts w:eastAsia="Arial"/>
          <w:sz w:val="22"/>
          <w:szCs w:val="22"/>
        </w:rPr>
        <w:t xml:space="preserve"> </w:t>
      </w:r>
      <w:r w:rsidRPr="003131ED">
        <w:rPr>
          <w:rFonts w:eastAsia="Arial"/>
          <w:sz w:val="22"/>
          <w:szCs w:val="22"/>
        </w:rPr>
        <w:t xml:space="preserve">PFF-induced cell death was </w:t>
      </w:r>
      <w:r w:rsidR="00973016" w:rsidRPr="003131ED">
        <w:rPr>
          <w:rFonts w:eastAsia="Arial"/>
          <w:sz w:val="22"/>
          <w:szCs w:val="22"/>
        </w:rPr>
        <w:t xml:space="preserve">also </w:t>
      </w:r>
      <w:r w:rsidRPr="003131ED">
        <w:rPr>
          <w:rFonts w:eastAsia="Arial"/>
          <w:sz w:val="22"/>
          <w:szCs w:val="22"/>
        </w:rPr>
        <w:t xml:space="preserve">measured. </w:t>
      </w:r>
      <w:r w:rsidR="007B4110" w:rsidRPr="003131ED">
        <w:rPr>
          <w:rFonts w:eastAsia="Arial"/>
          <w:sz w:val="22"/>
          <w:szCs w:val="22"/>
        </w:rPr>
        <w:t xml:space="preserve">Previous work </w:t>
      </w:r>
      <w:r w:rsidR="002707CC" w:rsidRPr="003131ED">
        <w:rPr>
          <w:rFonts w:eastAsia="Arial"/>
          <w:sz w:val="22"/>
          <w:szCs w:val="22"/>
        </w:rPr>
        <w:fldChar w:fldCharType="begin" w:fldLock="1"/>
      </w:r>
      <w:r w:rsidR="00D86B9A" w:rsidRPr="003131ED">
        <w:rPr>
          <w:rFonts w:eastAsia="Arial"/>
          <w:sz w:val="22"/>
          <w:szCs w:val="22"/>
        </w:rPr>
        <w:instrText>ADDIN CSL_CITATION {"citationItems":[{"id":"ITEM-1","itemData":{"DOI":"10.1038/cdd.2015.79","ISSN":"14765403","PMID":"26138444","abstract":"© 2015 Macmillan Publishers Limited. The role of extracellular α-synuclein (α-syn) in the initiation and the spreading of neurodegeneration in Parkinson's disease (PD) has been studied extensively over the past 10 years. However, the nature of the α-syn toxic species and the molecular mechanisms by which they may contribute to neuronal cell loss remain controversial. In this study, we show that fully characterized recombinant monomeric, fibrillar or stabilized forms of oligomeric α-syn do not trigger significant cell death when added individually to neuroblastoma cell lines. However, a mixture of preformed fibrils (PFFs) with monomeric α-syn becomes toxic under conditions that promote their growth and amyloid formation. In hippocampal primary neurons and ex vivo hippocampal slice cultures, α-syn PFFs are capable of inducing a moderate toxicity over time that is greatly exacerbated upon promoting fibril growth by addition of monomeric α-syn. The causal relationship between α-sy n aggregation and cellular toxicity was further investigated by assessing the effect of inhibiting fibrillization on α-syn-induced cell death. Remarkably, our data show that blocking fibril growth by treatment with known pharmacological inhibitor of α-syn fibrillization (Tolcapone) or replacing monomeric α-syn by monomeric β-synuclein in α-syn mixture composition prevent α-syn-induced toxicity in both neuroblastoma cell lines and hippocampal primary neurons. We demonstrate that exogenously added α-syn fibrils bind to the plasma membrane and serve as nucleation sites for the formation of α-syn fibrils and promote the accumulation and internalization of these aggregates that in turn activate both the extrinsic and intrinsic apoptotic cell death pathways in our cellular models. Our results support the hypothesis that ongoing aggregation and fibrillization of extracellular α-syn play central roles in α-syn extracellular toxicity, and suggest that inhibiting fibril growth and seeding capacity constitute a viable strategy for protecting against α-syn-induced toxicity and slowing the progression of neurodegeneration in PD and other synucleinopathies.","author":[{"dropping-particle":"","family":"Mahul-Mellier","given":"A. L.","non-dropping-particle":"","parse-names":false,"suffix":""},{"dropping-particle":"","family":"Vercruysse","given":"F","non-dropping-particle":"","parse-names":false,"suffix":""},{"dropping-particle":"","family":"MacO","given":"B.","non-dropping-particle":"","parse-names":false,"suffix":""},{"dropping-particle":"","family":"Ait-Bouziad","given":"N","non-dropping-particle":"","parse-names":false,"suffix":""},{"dropping-particle":"","family":"Roo","given":"M","non-dropping-particle":"De","parse-names":false,"suffix":""},{"dropping-particle":"","family":"Muller","given":"D","non-dropping-particle":"","parse-names":false,"suffix":""},{"dropping-particle":"","family":"Lashuel","given":"H A","non-dropping-particle":"","parse-names":false,"suffix":""}],"container-title":"Cell Death and Differentiation","id":"ITEM-1","issue":"12","issued":{"date-parts":[["2015","12"]]},"page":"2107-2122","publisher":"Nature Publishing Group","title":"Fibril growth and seeding capacity play key roles in α-synuclein-mediated apoptotic cell death","type":"article-journal","volume":"22"},"uris":["http://www.mendeley.com/documents/?uuid=28552ade-7791-30ae-932d-50142d2b07d8"]}],"mendeley":{"formattedCitation":"(Mahul-Mellier &lt;i&gt;et al.&lt;/i&gt; 2015)","plainTextFormattedCitation":"(Mahul-Mellier et al. 2015)","previouslyFormattedCitation":"(Mahul-Mellier &lt;i&gt;et al.&lt;/i&gt; 2015)"},"properties":{"noteIndex":0},"schema":"https://github.com/citation-style-language/schema/raw/master/csl-citation.json"}</w:instrText>
      </w:r>
      <w:r w:rsidR="002707CC" w:rsidRPr="003131ED">
        <w:rPr>
          <w:rFonts w:eastAsia="Arial"/>
          <w:sz w:val="22"/>
          <w:szCs w:val="22"/>
        </w:rPr>
        <w:fldChar w:fldCharType="separate"/>
      </w:r>
      <w:r w:rsidR="00D86B9A" w:rsidRPr="003131ED">
        <w:rPr>
          <w:rFonts w:eastAsia="Arial"/>
          <w:noProof/>
          <w:sz w:val="22"/>
          <w:szCs w:val="22"/>
        </w:rPr>
        <w:t xml:space="preserve">(Mahul-Mellier </w:t>
      </w:r>
      <w:r w:rsidR="00D86B9A" w:rsidRPr="003131ED">
        <w:rPr>
          <w:rFonts w:eastAsia="Arial"/>
          <w:i/>
          <w:noProof/>
          <w:sz w:val="22"/>
          <w:szCs w:val="22"/>
        </w:rPr>
        <w:t>et al.</w:t>
      </w:r>
      <w:r w:rsidR="00D86B9A" w:rsidRPr="003131ED">
        <w:rPr>
          <w:rFonts w:eastAsia="Arial"/>
          <w:noProof/>
          <w:sz w:val="22"/>
          <w:szCs w:val="22"/>
        </w:rPr>
        <w:t xml:space="preserve"> 2015)</w:t>
      </w:r>
      <w:r w:rsidR="002707CC" w:rsidRPr="003131ED">
        <w:rPr>
          <w:rFonts w:eastAsia="Arial"/>
          <w:sz w:val="22"/>
          <w:szCs w:val="22"/>
        </w:rPr>
        <w:fldChar w:fldCharType="end"/>
      </w:r>
      <w:r w:rsidR="007B4110" w:rsidRPr="003131ED">
        <w:rPr>
          <w:rFonts w:eastAsia="Arial"/>
          <w:sz w:val="22"/>
          <w:szCs w:val="22"/>
        </w:rPr>
        <w:t xml:space="preserve"> demonstrated that treatment of SH-SY5Y cells with </w:t>
      </w:r>
      <w:r w:rsidR="007B4110" w:rsidRPr="003131ED">
        <w:rPr>
          <w:rFonts w:eastAsia="Arial"/>
          <w:sz w:val="22"/>
          <w:szCs w:val="22"/>
        </w:rPr>
        <w:sym w:font="Symbol" w:char="F061"/>
      </w:r>
      <w:r w:rsidR="007B4110" w:rsidRPr="003131ED">
        <w:rPr>
          <w:rFonts w:eastAsia="Arial"/>
          <w:sz w:val="22"/>
          <w:szCs w:val="22"/>
        </w:rPr>
        <w:t xml:space="preserve">-synuclein PFFs results in measurable toxicity only in the presence of additional </w:t>
      </w:r>
      <w:r w:rsidR="007B4110" w:rsidRPr="003131ED">
        <w:rPr>
          <w:rFonts w:eastAsia="Arial"/>
          <w:sz w:val="22"/>
          <w:szCs w:val="22"/>
        </w:rPr>
        <w:sym w:font="Symbol" w:char="F061"/>
      </w:r>
      <w:r w:rsidR="007B4110" w:rsidRPr="003131ED">
        <w:rPr>
          <w:rFonts w:eastAsia="Arial"/>
          <w:sz w:val="22"/>
          <w:szCs w:val="22"/>
        </w:rPr>
        <w:t xml:space="preserve">-synuclein monomers; </w:t>
      </w:r>
      <w:r w:rsidRPr="003131ED">
        <w:rPr>
          <w:rFonts w:eastAsia="Arial"/>
          <w:sz w:val="22"/>
          <w:szCs w:val="22"/>
        </w:rPr>
        <w:t xml:space="preserve">therefore, cells were treated with combinations of 1.5uM monomer and increasing concentrations of PFFs (1.5 – 10uM) for 7 days. </w:t>
      </w:r>
      <w:r w:rsidR="007C1A08" w:rsidRPr="003131ED">
        <w:rPr>
          <w:rFonts w:eastAsia="Arial"/>
          <w:sz w:val="22"/>
          <w:szCs w:val="22"/>
        </w:rPr>
        <w:t xml:space="preserve">A </w:t>
      </w:r>
      <w:r w:rsidRPr="003131ED">
        <w:rPr>
          <w:rFonts w:eastAsia="Arial"/>
          <w:sz w:val="22"/>
          <w:szCs w:val="22"/>
        </w:rPr>
        <w:t xml:space="preserve">PFF </w:t>
      </w:r>
      <w:r w:rsidR="007C1A08" w:rsidRPr="003131ED">
        <w:rPr>
          <w:rFonts w:eastAsia="Arial"/>
          <w:sz w:val="22"/>
          <w:szCs w:val="22"/>
        </w:rPr>
        <w:t>dose-</w:t>
      </w:r>
      <w:r w:rsidRPr="003131ED">
        <w:rPr>
          <w:rFonts w:eastAsia="Arial"/>
          <w:sz w:val="22"/>
          <w:szCs w:val="22"/>
        </w:rPr>
        <w:t>dependent decrease in cell</w:t>
      </w:r>
      <w:r w:rsidR="003D066A" w:rsidRPr="003131ED">
        <w:rPr>
          <w:rFonts w:eastAsia="Arial"/>
          <w:sz w:val="22"/>
          <w:szCs w:val="22"/>
        </w:rPr>
        <w:t xml:space="preserve"> </w:t>
      </w:r>
      <w:r w:rsidRPr="003131ED">
        <w:rPr>
          <w:rFonts w:eastAsia="Arial"/>
          <w:sz w:val="22"/>
          <w:szCs w:val="22"/>
        </w:rPr>
        <w:t xml:space="preserve">viability was seen with both WT and H63D </w:t>
      </w:r>
      <w:r w:rsidRPr="003131ED">
        <w:rPr>
          <w:rFonts w:eastAsia="Arial"/>
          <w:i/>
          <w:sz w:val="22"/>
          <w:szCs w:val="22"/>
        </w:rPr>
        <w:t>HFE</w:t>
      </w:r>
      <w:r w:rsidRPr="003131ED">
        <w:rPr>
          <w:rFonts w:eastAsia="Arial"/>
          <w:sz w:val="22"/>
          <w:szCs w:val="22"/>
        </w:rPr>
        <w:t xml:space="preserve"> cells (</w:t>
      </w:r>
      <w:r w:rsidRPr="003131ED">
        <w:rPr>
          <w:rFonts w:eastAsia="Arial"/>
          <w:b/>
          <w:sz w:val="22"/>
          <w:szCs w:val="22"/>
        </w:rPr>
        <w:t xml:space="preserve">Fig. </w:t>
      </w:r>
      <w:r w:rsidR="00FF6D54" w:rsidRPr="003131ED">
        <w:rPr>
          <w:rFonts w:eastAsia="Arial"/>
          <w:b/>
          <w:sz w:val="22"/>
          <w:szCs w:val="22"/>
        </w:rPr>
        <w:t>4</w:t>
      </w:r>
      <w:r w:rsidRPr="003131ED">
        <w:rPr>
          <w:rFonts w:eastAsia="Arial"/>
          <w:b/>
          <w:sz w:val="22"/>
          <w:szCs w:val="22"/>
        </w:rPr>
        <w:t>A</w:t>
      </w:r>
      <w:r w:rsidRPr="003131ED">
        <w:rPr>
          <w:rFonts w:eastAsia="Arial"/>
          <w:sz w:val="22"/>
          <w:szCs w:val="22"/>
        </w:rPr>
        <w:t xml:space="preserve">). </w:t>
      </w:r>
      <w:r w:rsidR="00E66D77" w:rsidRPr="003131ED">
        <w:rPr>
          <w:rFonts w:eastAsia="Arial"/>
          <w:sz w:val="22"/>
          <w:szCs w:val="22"/>
        </w:rPr>
        <w:t>Viability was normalized to</w:t>
      </w:r>
      <w:r w:rsidR="00503DAD" w:rsidRPr="003131ED">
        <w:rPr>
          <w:rFonts w:eastAsia="Arial"/>
          <w:sz w:val="22"/>
          <w:szCs w:val="22"/>
        </w:rPr>
        <w:t xml:space="preserve"> the group treated with </w:t>
      </w:r>
      <w:r w:rsidR="00E66D77" w:rsidRPr="003131ED">
        <w:rPr>
          <w:rFonts w:eastAsia="Arial"/>
          <w:sz w:val="22"/>
          <w:szCs w:val="22"/>
        </w:rPr>
        <w:t xml:space="preserve"> </w:t>
      </w:r>
      <w:r w:rsidR="00E66D77" w:rsidRPr="003131ED">
        <w:rPr>
          <w:rFonts w:eastAsia="Arial"/>
          <w:sz w:val="22"/>
          <w:szCs w:val="22"/>
        </w:rPr>
        <w:sym w:font="Symbol" w:char="F061"/>
      </w:r>
      <w:r w:rsidR="00E66D77" w:rsidRPr="003131ED">
        <w:rPr>
          <w:rFonts w:eastAsia="Arial"/>
          <w:sz w:val="22"/>
          <w:szCs w:val="22"/>
        </w:rPr>
        <w:t>-synuclein monomer</w:t>
      </w:r>
      <w:r w:rsidR="00B538B0" w:rsidRPr="003131ED">
        <w:rPr>
          <w:rFonts w:eastAsia="Arial"/>
          <w:sz w:val="22"/>
          <w:szCs w:val="22"/>
        </w:rPr>
        <w:t xml:space="preserve"> </w:t>
      </w:r>
      <w:r w:rsidR="00E66D77" w:rsidRPr="003131ED">
        <w:rPr>
          <w:rFonts w:eastAsia="Arial"/>
          <w:sz w:val="22"/>
          <w:szCs w:val="22"/>
        </w:rPr>
        <w:t xml:space="preserve">to account </w:t>
      </w:r>
      <w:r w:rsidR="00E66D77" w:rsidRPr="003131ED">
        <w:rPr>
          <w:rFonts w:eastAsia="Arial"/>
          <w:sz w:val="22"/>
          <w:szCs w:val="22"/>
        </w:rPr>
        <w:lastRenderedPageBreak/>
        <w:t xml:space="preserve">for </w:t>
      </w:r>
      <w:r w:rsidR="007B1297" w:rsidRPr="003131ED">
        <w:rPr>
          <w:rFonts w:eastAsia="Arial"/>
          <w:sz w:val="22"/>
          <w:szCs w:val="22"/>
        </w:rPr>
        <w:t xml:space="preserve">potential </w:t>
      </w:r>
      <w:r w:rsidR="00E66D77" w:rsidRPr="003131ED">
        <w:rPr>
          <w:rFonts w:eastAsia="Arial"/>
          <w:sz w:val="22"/>
          <w:szCs w:val="22"/>
        </w:rPr>
        <w:t xml:space="preserve">differences in cell number. </w:t>
      </w:r>
      <w:r w:rsidRPr="003131ED">
        <w:rPr>
          <w:rFonts w:eastAsia="Arial"/>
          <w:sz w:val="22"/>
          <w:szCs w:val="22"/>
        </w:rPr>
        <w:t xml:space="preserve">Notably, H63D </w:t>
      </w:r>
      <w:r w:rsidRPr="003131ED">
        <w:rPr>
          <w:rFonts w:eastAsia="Arial"/>
          <w:i/>
          <w:sz w:val="22"/>
          <w:szCs w:val="22"/>
        </w:rPr>
        <w:t>HFE</w:t>
      </w:r>
      <w:r w:rsidRPr="003131ED">
        <w:rPr>
          <w:rFonts w:eastAsia="Arial"/>
          <w:sz w:val="22"/>
          <w:szCs w:val="22"/>
        </w:rPr>
        <w:t xml:space="preserve"> cells showed</w:t>
      </w:r>
      <w:r w:rsidR="00874ABA" w:rsidRPr="003131ED">
        <w:rPr>
          <w:rFonts w:eastAsia="Arial"/>
          <w:sz w:val="22"/>
          <w:szCs w:val="22"/>
        </w:rPr>
        <w:t xml:space="preserve"> </w:t>
      </w:r>
      <w:r w:rsidRPr="003131ED">
        <w:rPr>
          <w:rFonts w:eastAsia="Arial"/>
          <w:sz w:val="22"/>
          <w:szCs w:val="22"/>
        </w:rPr>
        <w:t xml:space="preserve">greater cell viability compared to wildtype. </w:t>
      </w:r>
      <w:r w:rsidR="007C1A08" w:rsidRPr="003131ED">
        <w:rPr>
          <w:rFonts w:eastAsia="Arial"/>
          <w:sz w:val="22"/>
          <w:szCs w:val="22"/>
        </w:rPr>
        <w:t xml:space="preserve">The lower levels of </w:t>
      </w:r>
      <w:r w:rsidRPr="003131ED">
        <w:rPr>
          <w:rFonts w:eastAsia="Arial"/>
          <w:sz w:val="22"/>
          <w:szCs w:val="22"/>
        </w:rPr>
        <w:t xml:space="preserve">apoptotic cell death </w:t>
      </w:r>
      <w:r w:rsidR="007C1A08" w:rsidRPr="003131ED">
        <w:rPr>
          <w:rFonts w:eastAsia="Arial"/>
          <w:sz w:val="22"/>
          <w:szCs w:val="22"/>
        </w:rPr>
        <w:t>in</w:t>
      </w:r>
      <w:r w:rsidRPr="003131ED">
        <w:rPr>
          <w:rFonts w:eastAsia="Arial"/>
          <w:sz w:val="22"/>
          <w:szCs w:val="22"/>
        </w:rPr>
        <w:t xml:space="preserve"> H63D </w:t>
      </w:r>
      <w:r w:rsidRPr="003131ED">
        <w:rPr>
          <w:rFonts w:eastAsia="Arial"/>
          <w:i/>
          <w:sz w:val="22"/>
          <w:szCs w:val="22"/>
        </w:rPr>
        <w:t>HFE</w:t>
      </w:r>
      <w:r w:rsidRPr="003131ED">
        <w:rPr>
          <w:rFonts w:eastAsia="Arial"/>
          <w:sz w:val="22"/>
          <w:szCs w:val="22"/>
        </w:rPr>
        <w:t xml:space="preserve"> cells occurred after 1.5uM monomer + 5uM PFF treatment was confirmed with caspase 3/7 activity assay (</w:t>
      </w:r>
      <w:r w:rsidRPr="003131ED">
        <w:rPr>
          <w:rFonts w:eastAsia="Arial"/>
          <w:b/>
          <w:sz w:val="22"/>
          <w:szCs w:val="22"/>
        </w:rPr>
        <w:t xml:space="preserve">Fig. </w:t>
      </w:r>
      <w:r w:rsidR="00FF6D54" w:rsidRPr="003131ED">
        <w:rPr>
          <w:rFonts w:eastAsia="Arial"/>
          <w:b/>
          <w:sz w:val="22"/>
          <w:szCs w:val="22"/>
        </w:rPr>
        <w:t>4</w:t>
      </w:r>
      <w:r w:rsidRPr="003131ED">
        <w:rPr>
          <w:rFonts w:eastAsia="Arial"/>
          <w:b/>
          <w:sz w:val="22"/>
          <w:szCs w:val="22"/>
        </w:rPr>
        <w:t>B</w:t>
      </w:r>
      <w:r w:rsidRPr="003131ED">
        <w:rPr>
          <w:rFonts w:eastAsia="Arial"/>
          <w:sz w:val="22"/>
          <w:szCs w:val="22"/>
        </w:rPr>
        <w:t>) and annexin V-FITC/ 7-AAD flow cytometry</w:t>
      </w:r>
      <w:r w:rsidR="007C1A08" w:rsidRPr="003131ED">
        <w:rPr>
          <w:rFonts w:eastAsia="Arial"/>
          <w:sz w:val="22"/>
          <w:szCs w:val="22"/>
        </w:rPr>
        <w:t xml:space="preserve"> </w:t>
      </w:r>
      <w:r w:rsidRPr="003131ED">
        <w:rPr>
          <w:rFonts w:eastAsia="Arial"/>
          <w:sz w:val="22"/>
          <w:szCs w:val="22"/>
        </w:rPr>
        <w:t>(</w:t>
      </w:r>
      <w:r w:rsidRPr="003131ED">
        <w:rPr>
          <w:rFonts w:eastAsia="Arial"/>
          <w:b/>
          <w:sz w:val="22"/>
          <w:szCs w:val="22"/>
        </w:rPr>
        <w:t xml:space="preserve">Fig. </w:t>
      </w:r>
      <w:r w:rsidR="00FF6D54" w:rsidRPr="003131ED">
        <w:rPr>
          <w:rFonts w:eastAsia="Arial"/>
          <w:b/>
          <w:sz w:val="22"/>
          <w:szCs w:val="22"/>
        </w:rPr>
        <w:t>4</w:t>
      </w:r>
      <w:r w:rsidRPr="003131ED">
        <w:rPr>
          <w:rFonts w:eastAsia="Arial"/>
          <w:b/>
          <w:sz w:val="22"/>
          <w:szCs w:val="22"/>
        </w:rPr>
        <w:t>C</w:t>
      </w:r>
      <w:r w:rsidRPr="003131ED">
        <w:rPr>
          <w:rFonts w:eastAsia="Arial"/>
          <w:sz w:val="22"/>
          <w:szCs w:val="22"/>
        </w:rPr>
        <w:t xml:space="preserve">). Fold change in caspase 3/7 activity and percent annexin V-positive cells after PFF treatment were significantly lower for H63D </w:t>
      </w:r>
      <w:r w:rsidRPr="003131ED">
        <w:rPr>
          <w:rFonts w:eastAsia="Arial"/>
          <w:i/>
          <w:sz w:val="22"/>
          <w:szCs w:val="22"/>
        </w:rPr>
        <w:t>HFE</w:t>
      </w:r>
      <w:r w:rsidRPr="003131ED">
        <w:rPr>
          <w:rFonts w:eastAsia="Arial"/>
          <w:sz w:val="22"/>
          <w:szCs w:val="22"/>
        </w:rPr>
        <w:t xml:space="preserve"> cells</w:t>
      </w:r>
      <w:r w:rsidR="007C1A08" w:rsidRPr="003131ED">
        <w:rPr>
          <w:rFonts w:eastAsia="Arial"/>
          <w:sz w:val="22"/>
          <w:szCs w:val="22"/>
        </w:rPr>
        <w:t xml:space="preserve"> than WT </w:t>
      </w:r>
      <w:r w:rsidR="007C1A08" w:rsidRPr="003131ED">
        <w:rPr>
          <w:rFonts w:eastAsia="Arial"/>
          <w:i/>
          <w:sz w:val="22"/>
          <w:szCs w:val="22"/>
        </w:rPr>
        <w:t>HFE</w:t>
      </w:r>
      <w:r w:rsidR="007C1A08" w:rsidRPr="003131ED">
        <w:rPr>
          <w:rFonts w:eastAsia="Arial"/>
          <w:sz w:val="22"/>
          <w:szCs w:val="22"/>
        </w:rPr>
        <w:t xml:space="preserve">. </w:t>
      </w:r>
    </w:p>
    <w:p w14:paraId="31EB0DFA" w14:textId="77777777" w:rsidR="00B456E7" w:rsidRPr="003131ED" w:rsidRDefault="00B456E7" w:rsidP="00D0468C">
      <w:pPr>
        <w:spacing w:line="360" w:lineRule="auto"/>
        <w:jc w:val="both"/>
        <w:rPr>
          <w:rFonts w:eastAsia="Arial"/>
          <w:b/>
          <w:sz w:val="22"/>
          <w:szCs w:val="22"/>
          <w:u w:val="single"/>
        </w:rPr>
      </w:pPr>
    </w:p>
    <w:p w14:paraId="2183F2A9" w14:textId="5437AC50" w:rsidR="00B456E7" w:rsidRPr="003131ED" w:rsidRDefault="00B456E7" w:rsidP="00D0468C">
      <w:pPr>
        <w:spacing w:line="360" w:lineRule="auto"/>
        <w:jc w:val="both"/>
        <w:rPr>
          <w:rFonts w:eastAsia="Arial"/>
          <w:b/>
          <w:sz w:val="22"/>
          <w:szCs w:val="22"/>
        </w:rPr>
      </w:pPr>
      <w:r w:rsidRPr="003131ED">
        <w:rPr>
          <w:rFonts w:eastAsia="Arial"/>
          <w:b/>
          <w:sz w:val="22"/>
          <w:szCs w:val="22"/>
        </w:rPr>
        <w:t>H63D HFE increases autophagy through REDD1 inhibition of mTORC1</w:t>
      </w:r>
    </w:p>
    <w:p w14:paraId="0689068D" w14:textId="521D2AC0" w:rsidR="0011388B" w:rsidRPr="003131ED" w:rsidRDefault="00B456E7" w:rsidP="00D0468C">
      <w:pPr>
        <w:spacing w:line="360" w:lineRule="auto"/>
        <w:jc w:val="both"/>
        <w:rPr>
          <w:rFonts w:eastAsia="Arial"/>
          <w:sz w:val="22"/>
          <w:szCs w:val="22"/>
        </w:rPr>
      </w:pPr>
      <w:r w:rsidRPr="003131ED">
        <w:rPr>
          <w:rFonts w:eastAsia="Arial"/>
          <w:sz w:val="22"/>
          <w:szCs w:val="22"/>
        </w:rPr>
        <w:t xml:space="preserve">Autophagy is the main pathway for clearance of aggregated </w:t>
      </w:r>
      <w:r w:rsidRPr="003131ED">
        <w:rPr>
          <w:rFonts w:eastAsia="Arial"/>
          <w:sz w:val="22"/>
          <w:szCs w:val="22"/>
        </w:rPr>
        <w:sym w:font="Symbol" w:char="F061"/>
      </w:r>
      <w:r w:rsidRPr="003131ED">
        <w:rPr>
          <w:rFonts w:eastAsia="Arial"/>
          <w:sz w:val="22"/>
          <w:szCs w:val="22"/>
        </w:rPr>
        <w:t xml:space="preserve">-synuclein. Baseline autophagic flux in WT and H63D </w:t>
      </w:r>
      <w:r w:rsidRPr="003131ED">
        <w:rPr>
          <w:rFonts w:eastAsia="Arial"/>
          <w:i/>
          <w:sz w:val="22"/>
          <w:szCs w:val="22"/>
        </w:rPr>
        <w:t>HFE</w:t>
      </w:r>
      <w:r w:rsidRPr="003131ED">
        <w:rPr>
          <w:rFonts w:eastAsia="Arial"/>
          <w:sz w:val="22"/>
          <w:szCs w:val="22"/>
        </w:rPr>
        <w:t xml:space="preserve"> SH-SY5Y cells w</w:t>
      </w:r>
      <w:r w:rsidR="008278EE" w:rsidRPr="003131ED">
        <w:rPr>
          <w:rFonts w:eastAsia="Arial"/>
          <w:sz w:val="22"/>
          <w:szCs w:val="22"/>
        </w:rPr>
        <w:t>as</w:t>
      </w:r>
      <w:r w:rsidRPr="003131ED">
        <w:rPr>
          <w:rFonts w:eastAsia="Arial"/>
          <w:sz w:val="22"/>
          <w:szCs w:val="22"/>
        </w:rPr>
        <w:t xml:space="preserve"> measured using autophagy inhibitors bafilomycin A1 (BafA1) and chloroquine (CQ). Cells were treated with 100nM BafA1 for 4hr or 50uM CQ for 2.5 hrs. Lysates were used for western blot against LC3B. LC3B-II band densities were quantified and autophagic flux was calculated by the difference </w:t>
      </w:r>
      <w:r w:rsidR="007B3A73" w:rsidRPr="003131ED">
        <w:rPr>
          <w:rFonts w:eastAsia="Arial"/>
          <w:sz w:val="22"/>
          <w:szCs w:val="22"/>
        </w:rPr>
        <w:t xml:space="preserve">in LC3B-II band density between control and autophagy inhibitor treated groups normalized to </w:t>
      </w:r>
      <w:r w:rsidR="007B3A73" w:rsidRPr="003131ED">
        <w:rPr>
          <w:rFonts w:eastAsia="Arial"/>
          <w:sz w:val="22"/>
          <w:szCs w:val="22"/>
        </w:rPr>
        <w:sym w:font="Symbol" w:char="F062"/>
      </w:r>
      <w:r w:rsidR="007B3A73" w:rsidRPr="003131ED">
        <w:rPr>
          <w:rFonts w:eastAsia="Arial"/>
          <w:sz w:val="22"/>
          <w:szCs w:val="22"/>
        </w:rPr>
        <w:t xml:space="preserve">-actin. Autophagic flux was significantly increased in H63D </w:t>
      </w:r>
      <w:r w:rsidR="007B3A73" w:rsidRPr="003131ED">
        <w:rPr>
          <w:rFonts w:eastAsia="Arial"/>
          <w:i/>
          <w:sz w:val="22"/>
          <w:szCs w:val="22"/>
        </w:rPr>
        <w:t>HFE</w:t>
      </w:r>
      <w:r w:rsidR="007B3A73" w:rsidRPr="003131ED">
        <w:rPr>
          <w:rFonts w:eastAsia="Arial"/>
          <w:sz w:val="22"/>
          <w:szCs w:val="22"/>
        </w:rPr>
        <w:t xml:space="preserve"> cells (</w:t>
      </w:r>
      <w:r w:rsidR="007B3A73" w:rsidRPr="003131ED">
        <w:rPr>
          <w:rFonts w:eastAsia="Arial"/>
          <w:b/>
          <w:sz w:val="22"/>
          <w:szCs w:val="22"/>
        </w:rPr>
        <w:t xml:space="preserve">Figs. </w:t>
      </w:r>
      <w:r w:rsidR="00FF6D54" w:rsidRPr="003131ED">
        <w:rPr>
          <w:rFonts w:eastAsia="Arial"/>
          <w:b/>
          <w:sz w:val="22"/>
          <w:szCs w:val="22"/>
        </w:rPr>
        <w:t>5</w:t>
      </w:r>
      <w:r w:rsidR="007B3A73" w:rsidRPr="003131ED">
        <w:rPr>
          <w:rFonts w:eastAsia="Arial"/>
          <w:b/>
          <w:sz w:val="22"/>
          <w:szCs w:val="22"/>
        </w:rPr>
        <w:t xml:space="preserve">A, </w:t>
      </w:r>
      <w:r w:rsidR="00FF6D54" w:rsidRPr="003131ED">
        <w:rPr>
          <w:rFonts w:eastAsia="Arial"/>
          <w:b/>
          <w:sz w:val="22"/>
          <w:szCs w:val="22"/>
        </w:rPr>
        <w:t>5</w:t>
      </w:r>
      <w:r w:rsidR="007B3A73" w:rsidRPr="003131ED">
        <w:rPr>
          <w:rFonts w:eastAsia="Arial"/>
          <w:b/>
          <w:sz w:val="22"/>
          <w:szCs w:val="22"/>
        </w:rPr>
        <w:t>B</w:t>
      </w:r>
      <w:r w:rsidR="007B3A73" w:rsidRPr="003131ED">
        <w:rPr>
          <w:rFonts w:eastAsia="Arial"/>
          <w:sz w:val="22"/>
          <w:szCs w:val="22"/>
        </w:rPr>
        <w:t xml:space="preserve">). As expected, immunofluorescence revealed build-up of LC3-positive puncta with BafA1 treatment. Greater increase in LC3-positive puncta/cell was observed for H63D </w:t>
      </w:r>
      <w:r w:rsidR="007B3A73" w:rsidRPr="003131ED">
        <w:rPr>
          <w:rFonts w:eastAsia="Arial"/>
          <w:i/>
          <w:sz w:val="22"/>
          <w:szCs w:val="22"/>
        </w:rPr>
        <w:t>HFE</w:t>
      </w:r>
      <w:r w:rsidR="007B3A73" w:rsidRPr="003131ED">
        <w:rPr>
          <w:rFonts w:eastAsia="Arial"/>
          <w:sz w:val="22"/>
          <w:szCs w:val="22"/>
        </w:rPr>
        <w:t xml:space="preserve"> cells compared to wildtype (</w:t>
      </w:r>
      <w:r w:rsidR="007B3A73" w:rsidRPr="003131ED">
        <w:rPr>
          <w:rFonts w:eastAsia="Arial"/>
          <w:b/>
          <w:sz w:val="22"/>
          <w:szCs w:val="22"/>
        </w:rPr>
        <w:t xml:space="preserve">Fig. </w:t>
      </w:r>
      <w:r w:rsidR="00FF6D54" w:rsidRPr="003131ED">
        <w:rPr>
          <w:rFonts w:eastAsia="Arial"/>
          <w:b/>
          <w:sz w:val="22"/>
          <w:szCs w:val="22"/>
        </w:rPr>
        <w:t>5</w:t>
      </w:r>
      <w:r w:rsidR="007B3A73" w:rsidRPr="003131ED">
        <w:rPr>
          <w:rFonts w:eastAsia="Arial"/>
          <w:b/>
          <w:sz w:val="22"/>
          <w:szCs w:val="22"/>
        </w:rPr>
        <w:t>C</w:t>
      </w:r>
      <w:r w:rsidR="007B3A73" w:rsidRPr="003131ED">
        <w:rPr>
          <w:rFonts w:eastAsia="Arial"/>
          <w:sz w:val="22"/>
          <w:szCs w:val="22"/>
        </w:rPr>
        <w:t>)</w:t>
      </w:r>
      <w:r w:rsidR="006E1017" w:rsidRPr="003131ED">
        <w:rPr>
          <w:rFonts w:eastAsia="Arial"/>
          <w:sz w:val="22"/>
          <w:szCs w:val="22"/>
        </w:rPr>
        <w:t>, confirming the LC3B-II western analysis</w:t>
      </w:r>
      <w:r w:rsidR="007B3A73" w:rsidRPr="003131ED">
        <w:rPr>
          <w:rFonts w:eastAsia="Arial"/>
          <w:sz w:val="22"/>
          <w:szCs w:val="22"/>
        </w:rPr>
        <w:t>. A potential mechanism for increased baseline autophagy is through the inhibition of mTORC1. mTORC1 is a negative regulator of autophagy and its activity can be inhibited by TSC1/TSC2 complex and drugs like rapamycin</w:t>
      </w:r>
      <w:r w:rsidR="00D46205" w:rsidRPr="003131ED">
        <w:rPr>
          <w:rFonts w:eastAsia="Arial"/>
          <w:sz w:val="22"/>
          <w:szCs w:val="22"/>
        </w:rPr>
        <w:t xml:space="preserve"> </w:t>
      </w:r>
      <w:r w:rsidR="00D46205" w:rsidRPr="003131ED">
        <w:rPr>
          <w:rFonts w:eastAsia="Arial"/>
          <w:sz w:val="22"/>
          <w:szCs w:val="22"/>
        </w:rPr>
        <w:fldChar w:fldCharType="begin" w:fldLock="1"/>
      </w:r>
      <w:r w:rsidR="00D86B9A" w:rsidRPr="003131ED">
        <w:rPr>
          <w:rFonts w:eastAsia="Arial"/>
          <w:sz w:val="22"/>
          <w:szCs w:val="22"/>
        </w:rPr>
        <w:instrText>ADDIN CSL_CITATION {"citationItems":[{"id":"ITEM-1","itemData":{"DOI":"10.1016/j.cellsig.2014.08.019","ISSN":"18733913","abstract":"Disruption of autophagy plays an import role in neurodegenerative disorders, where deficient elimination of abnormal and toxic protein aggregates promotes cellular stress, failure and death. Therefore, induction of autophagy has been proposed as a reasonable strategy to help neurons clear abnormal protein aggregates and survive. The kinase mammalian target of rapamycin (mTOR) is a major regulator of the autophagic process and is regulated by starvation, growth factors, and cellular stressors. Upstream of mTOR the survival PI3K/AKT pathway modulates mTOR activity that is also altered in neurodegenerative diseases of Alzheimer and Parkinson. Nevertheless, the interplay between the PI3K/AKT/mTOR pathway and the autophagic process is complex and a more detailed examination of tissue from patients suffering neurodegenerative diseases and of animal and cellular models is needed. In the present work we review the recent findings on the role of the PI3K/AKT/mTOR pathway in the modulation of the autophagic process in neuronal protection.","author":[{"dropping-particle":"","family":"Heras-Sandoval","given":"David","non-dropping-particle":"","parse-names":false,"suffix":""},{"dropping-particle":"","family":"Pérez-Rojas","given":"Jazmin M.","non-dropping-particle":"","parse-names":false,"suffix":""},{"dropping-particle":"","family":"Hernández-Damián","given":"Jacqueline","non-dropping-particle":"","parse-names":false,"suffix":""},{"dropping-particle":"","family":"Pedraza-Chaverri","given":"José","non-dropping-particle":"","parse-names":false,"suffix":""}],"container-title":"Cellular Signalling","id":"ITEM-1","issue":"12","issued":{"date-parts":[["2014","12","1"]]},"page":"2694-2701","publisher":"Pergamon","title":"The role of PI3K/AKT/mTOR pathway in the modulation of autophagy and the clearance of protein aggregates in neurodegeneration","type":"article","volume":"26"},"uris":["http://www.mendeley.com/documents/?uuid=77469fd7-2269-310a-b4d0-63bb5ce0f081"]}],"mendeley":{"formattedCitation":"(Heras-Sandoval &lt;i&gt;et al.&lt;/i&gt; 2014)","plainTextFormattedCitation":"(Heras-Sandoval et al. 2014)","previouslyFormattedCitation":"(Heras-Sandoval &lt;i&gt;et al.&lt;/i&gt; 2014)"},"properties":{"noteIndex":0},"schema":"https://github.com/citation-style-language/schema/raw/master/csl-citation.json"}</w:instrText>
      </w:r>
      <w:r w:rsidR="00D46205" w:rsidRPr="003131ED">
        <w:rPr>
          <w:rFonts w:eastAsia="Arial"/>
          <w:sz w:val="22"/>
          <w:szCs w:val="22"/>
        </w:rPr>
        <w:fldChar w:fldCharType="separate"/>
      </w:r>
      <w:r w:rsidR="00D86B9A" w:rsidRPr="003131ED">
        <w:rPr>
          <w:rFonts w:eastAsia="Arial"/>
          <w:noProof/>
          <w:sz w:val="22"/>
          <w:szCs w:val="22"/>
        </w:rPr>
        <w:t xml:space="preserve">(Heras-Sandoval </w:t>
      </w:r>
      <w:r w:rsidR="00D86B9A" w:rsidRPr="003131ED">
        <w:rPr>
          <w:rFonts w:eastAsia="Arial"/>
          <w:i/>
          <w:noProof/>
          <w:sz w:val="22"/>
          <w:szCs w:val="22"/>
        </w:rPr>
        <w:t>et al.</w:t>
      </w:r>
      <w:r w:rsidR="00D86B9A" w:rsidRPr="003131ED">
        <w:rPr>
          <w:rFonts w:eastAsia="Arial"/>
          <w:noProof/>
          <w:sz w:val="22"/>
          <w:szCs w:val="22"/>
        </w:rPr>
        <w:t xml:space="preserve"> 2014)</w:t>
      </w:r>
      <w:r w:rsidR="00D46205" w:rsidRPr="003131ED">
        <w:rPr>
          <w:rFonts w:eastAsia="Arial"/>
          <w:sz w:val="22"/>
          <w:szCs w:val="22"/>
        </w:rPr>
        <w:fldChar w:fldCharType="end"/>
      </w:r>
      <w:r w:rsidR="005301CD" w:rsidRPr="003131ED">
        <w:rPr>
          <w:rFonts w:eastAsia="Arial"/>
          <w:sz w:val="22"/>
          <w:szCs w:val="22"/>
        </w:rPr>
        <w:t>, resulting in a net increase in autophagic flux</w:t>
      </w:r>
      <w:r w:rsidR="007B3A73" w:rsidRPr="003131ED">
        <w:rPr>
          <w:rFonts w:eastAsia="Arial"/>
          <w:sz w:val="22"/>
          <w:szCs w:val="22"/>
        </w:rPr>
        <w:t xml:space="preserve">. When WT and H63D </w:t>
      </w:r>
      <w:r w:rsidR="007B3A73" w:rsidRPr="003131ED">
        <w:rPr>
          <w:rFonts w:eastAsia="Arial"/>
          <w:i/>
          <w:sz w:val="22"/>
          <w:szCs w:val="22"/>
        </w:rPr>
        <w:t>HFE</w:t>
      </w:r>
      <w:r w:rsidR="007B3A73" w:rsidRPr="003131ED">
        <w:rPr>
          <w:rFonts w:eastAsia="Arial"/>
          <w:sz w:val="22"/>
          <w:szCs w:val="22"/>
        </w:rPr>
        <w:t xml:space="preserve"> cells were treated with rapamycin, autophagy induction was only detected in WT </w:t>
      </w:r>
      <w:r w:rsidR="007B3A73" w:rsidRPr="003131ED">
        <w:rPr>
          <w:rFonts w:eastAsia="Arial"/>
          <w:i/>
          <w:sz w:val="22"/>
          <w:szCs w:val="22"/>
        </w:rPr>
        <w:t>HFE</w:t>
      </w:r>
      <w:r w:rsidR="007B3A73" w:rsidRPr="003131ED">
        <w:rPr>
          <w:rFonts w:eastAsia="Arial"/>
          <w:sz w:val="22"/>
          <w:szCs w:val="22"/>
        </w:rPr>
        <w:t xml:space="preserve"> cells (</w:t>
      </w:r>
      <w:r w:rsidR="007B3A73" w:rsidRPr="003131ED">
        <w:rPr>
          <w:rFonts w:eastAsia="Arial"/>
          <w:b/>
          <w:sz w:val="22"/>
          <w:szCs w:val="22"/>
        </w:rPr>
        <w:t xml:space="preserve">Fig. </w:t>
      </w:r>
      <w:r w:rsidR="00FF6D54" w:rsidRPr="003131ED">
        <w:rPr>
          <w:rFonts w:eastAsia="Arial"/>
          <w:b/>
          <w:sz w:val="22"/>
          <w:szCs w:val="22"/>
        </w:rPr>
        <w:t>6</w:t>
      </w:r>
      <w:r w:rsidR="007B3A73" w:rsidRPr="003131ED">
        <w:rPr>
          <w:rFonts w:eastAsia="Arial"/>
          <w:b/>
          <w:sz w:val="22"/>
          <w:szCs w:val="22"/>
        </w:rPr>
        <w:t>A</w:t>
      </w:r>
      <w:r w:rsidR="007B3A73" w:rsidRPr="003131ED">
        <w:rPr>
          <w:rFonts w:eastAsia="Arial"/>
          <w:sz w:val="22"/>
          <w:szCs w:val="22"/>
        </w:rPr>
        <w:t xml:space="preserve">). </w:t>
      </w:r>
      <w:r w:rsidR="000F2ABE" w:rsidRPr="003131ED">
        <w:rPr>
          <w:rFonts w:eastAsia="Arial"/>
          <w:sz w:val="22"/>
          <w:szCs w:val="22"/>
        </w:rPr>
        <w:t xml:space="preserve">The lack of further autophagy induction by rapamycin in the H63D </w:t>
      </w:r>
      <w:r w:rsidR="000F2ABE" w:rsidRPr="003131ED">
        <w:rPr>
          <w:rFonts w:eastAsia="Arial"/>
          <w:i/>
          <w:sz w:val="22"/>
          <w:szCs w:val="22"/>
        </w:rPr>
        <w:t>HFE</w:t>
      </w:r>
      <w:r w:rsidR="000F2ABE" w:rsidRPr="003131ED">
        <w:rPr>
          <w:rFonts w:eastAsia="Arial"/>
          <w:sz w:val="22"/>
          <w:szCs w:val="22"/>
        </w:rPr>
        <w:t xml:space="preserve"> cells suggested the possibility that mTORC1 pathway was maximally inhibited. To evaluate this, we compared the levels of phosphorylated ULK1 in WT and H63D </w:t>
      </w:r>
      <w:r w:rsidR="000F2ABE" w:rsidRPr="003131ED">
        <w:rPr>
          <w:rFonts w:eastAsia="Arial"/>
          <w:i/>
          <w:sz w:val="22"/>
          <w:szCs w:val="22"/>
        </w:rPr>
        <w:t>HFE</w:t>
      </w:r>
      <w:r w:rsidR="000F2ABE" w:rsidRPr="003131ED">
        <w:rPr>
          <w:rFonts w:eastAsia="Arial"/>
          <w:sz w:val="22"/>
          <w:szCs w:val="22"/>
        </w:rPr>
        <w:t xml:space="preserve"> cells.</w:t>
      </w:r>
      <w:r w:rsidR="00FF6D54" w:rsidRPr="003131ED">
        <w:rPr>
          <w:rFonts w:eastAsia="Arial"/>
          <w:sz w:val="22"/>
          <w:szCs w:val="22"/>
        </w:rPr>
        <w:t xml:space="preserve"> </w:t>
      </w:r>
      <w:r w:rsidR="000F2ABE" w:rsidRPr="003131ED">
        <w:rPr>
          <w:rFonts w:eastAsia="Arial"/>
          <w:sz w:val="22"/>
          <w:szCs w:val="22"/>
        </w:rPr>
        <w:t xml:space="preserve">ULK1 is phosphorylated by mTORC1 and is involved in autophagy initiation. </w:t>
      </w:r>
      <w:r w:rsidR="003A5F11" w:rsidRPr="003131ED">
        <w:rPr>
          <w:rFonts w:eastAsia="Arial"/>
          <w:sz w:val="22"/>
          <w:szCs w:val="22"/>
        </w:rPr>
        <w:t xml:space="preserve">ULK1 phosphorylation at Ser757 was decreased in H63D </w:t>
      </w:r>
      <w:r w:rsidR="003A5F11" w:rsidRPr="003131ED">
        <w:rPr>
          <w:rFonts w:eastAsia="Arial"/>
          <w:i/>
          <w:sz w:val="22"/>
          <w:szCs w:val="22"/>
        </w:rPr>
        <w:t>HFE</w:t>
      </w:r>
      <w:r w:rsidR="003A5F11" w:rsidRPr="003131ED">
        <w:rPr>
          <w:rFonts w:eastAsia="Arial"/>
          <w:sz w:val="22"/>
          <w:szCs w:val="22"/>
        </w:rPr>
        <w:t xml:space="preserve"> cells (</w:t>
      </w:r>
      <w:r w:rsidR="003A5F11" w:rsidRPr="003131ED">
        <w:rPr>
          <w:rFonts w:eastAsia="Arial"/>
          <w:b/>
          <w:sz w:val="22"/>
          <w:szCs w:val="22"/>
        </w:rPr>
        <w:t xml:space="preserve">Fig. </w:t>
      </w:r>
      <w:r w:rsidR="00FF6D54" w:rsidRPr="003131ED">
        <w:rPr>
          <w:rFonts w:eastAsia="Arial"/>
          <w:b/>
          <w:sz w:val="22"/>
          <w:szCs w:val="22"/>
        </w:rPr>
        <w:t>6</w:t>
      </w:r>
      <w:r w:rsidR="003A5F11" w:rsidRPr="003131ED">
        <w:rPr>
          <w:rFonts w:eastAsia="Arial"/>
          <w:b/>
          <w:sz w:val="22"/>
          <w:szCs w:val="22"/>
        </w:rPr>
        <w:t>B</w:t>
      </w:r>
      <w:r w:rsidR="003A5F11" w:rsidRPr="003131ED">
        <w:rPr>
          <w:rFonts w:eastAsia="Arial"/>
          <w:sz w:val="22"/>
          <w:szCs w:val="22"/>
        </w:rPr>
        <w:t xml:space="preserve">). </w:t>
      </w:r>
      <w:r w:rsidR="007B3A73" w:rsidRPr="003131ED">
        <w:rPr>
          <w:rFonts w:eastAsia="Arial"/>
          <w:sz w:val="22"/>
          <w:szCs w:val="22"/>
        </w:rPr>
        <w:t>Furthermore, REDD1, which is known to inhibit mTORC1, was found be to elevated (</w:t>
      </w:r>
      <w:r w:rsidR="007B3A73" w:rsidRPr="003131ED">
        <w:rPr>
          <w:rFonts w:eastAsia="Arial"/>
          <w:b/>
          <w:sz w:val="22"/>
          <w:szCs w:val="22"/>
        </w:rPr>
        <w:t xml:space="preserve">Fig. </w:t>
      </w:r>
      <w:r w:rsidR="00FF6D54" w:rsidRPr="003131ED">
        <w:rPr>
          <w:rFonts w:eastAsia="Arial"/>
          <w:b/>
          <w:sz w:val="22"/>
          <w:szCs w:val="22"/>
        </w:rPr>
        <w:t>6</w:t>
      </w:r>
      <w:r w:rsidR="00484988" w:rsidRPr="003131ED">
        <w:rPr>
          <w:rFonts w:eastAsia="Arial"/>
          <w:b/>
          <w:sz w:val="22"/>
          <w:szCs w:val="22"/>
        </w:rPr>
        <w:t>C</w:t>
      </w:r>
      <w:r w:rsidR="007B3A73" w:rsidRPr="003131ED">
        <w:rPr>
          <w:rFonts w:eastAsia="Arial"/>
          <w:sz w:val="22"/>
          <w:szCs w:val="22"/>
        </w:rPr>
        <w:t>).</w:t>
      </w:r>
      <w:r w:rsidR="00685183" w:rsidRPr="003131ED">
        <w:rPr>
          <w:rFonts w:eastAsia="Arial"/>
          <w:sz w:val="22"/>
          <w:szCs w:val="22"/>
        </w:rPr>
        <w:t xml:space="preserve"> </w:t>
      </w:r>
      <w:r w:rsidR="003F2A75" w:rsidRPr="003131ED">
        <w:rPr>
          <w:rFonts w:eastAsia="Arial"/>
          <w:sz w:val="22"/>
          <w:szCs w:val="22"/>
        </w:rPr>
        <w:t xml:space="preserve">REDD1 knockdown by siRNA </w:t>
      </w:r>
      <w:r w:rsidR="00503DAD" w:rsidRPr="003131ED">
        <w:rPr>
          <w:rFonts w:eastAsia="Arial"/>
          <w:sz w:val="22"/>
          <w:szCs w:val="22"/>
        </w:rPr>
        <w:t xml:space="preserve">resulted in </w:t>
      </w:r>
      <w:r w:rsidR="003F2A75" w:rsidRPr="003131ED">
        <w:rPr>
          <w:rFonts w:eastAsia="Arial"/>
          <w:sz w:val="22"/>
          <w:szCs w:val="22"/>
        </w:rPr>
        <w:t>decrease</w:t>
      </w:r>
      <w:r w:rsidR="00503DAD" w:rsidRPr="003131ED">
        <w:rPr>
          <w:rFonts w:eastAsia="Arial"/>
          <w:sz w:val="22"/>
          <w:szCs w:val="22"/>
        </w:rPr>
        <w:t>d</w:t>
      </w:r>
      <w:r w:rsidR="003F2A75" w:rsidRPr="003131ED">
        <w:rPr>
          <w:rFonts w:eastAsia="Arial"/>
          <w:sz w:val="22"/>
          <w:szCs w:val="22"/>
        </w:rPr>
        <w:t xml:space="preserve"> autophagic flux in H63D </w:t>
      </w:r>
      <w:r w:rsidR="003F2A75" w:rsidRPr="003131ED">
        <w:rPr>
          <w:rFonts w:eastAsia="Arial"/>
          <w:i/>
          <w:sz w:val="22"/>
          <w:szCs w:val="22"/>
        </w:rPr>
        <w:t>HFE</w:t>
      </w:r>
      <w:r w:rsidR="003F2A75" w:rsidRPr="003131ED">
        <w:rPr>
          <w:rFonts w:eastAsia="Arial"/>
          <w:sz w:val="22"/>
          <w:szCs w:val="22"/>
        </w:rPr>
        <w:t xml:space="preserve"> cells confirming the REDD1-mTORC1 mediated </w:t>
      </w:r>
      <w:r w:rsidR="00F828D1" w:rsidRPr="003131ED">
        <w:rPr>
          <w:rFonts w:eastAsia="Arial"/>
          <w:sz w:val="22"/>
          <w:szCs w:val="22"/>
        </w:rPr>
        <w:t>autophagy induction (</w:t>
      </w:r>
      <w:r w:rsidR="00F828D1" w:rsidRPr="003131ED">
        <w:rPr>
          <w:rFonts w:eastAsia="Arial"/>
          <w:b/>
          <w:sz w:val="22"/>
          <w:szCs w:val="22"/>
        </w:rPr>
        <w:t>Fig. 6D</w:t>
      </w:r>
      <w:r w:rsidR="00F828D1" w:rsidRPr="003131ED">
        <w:rPr>
          <w:rFonts w:eastAsia="Arial"/>
          <w:sz w:val="22"/>
          <w:szCs w:val="22"/>
        </w:rPr>
        <w:t xml:space="preserve">). </w:t>
      </w:r>
      <w:r w:rsidR="00AF615B" w:rsidRPr="003131ED">
        <w:rPr>
          <w:rFonts w:eastAsia="Arial"/>
          <w:sz w:val="22"/>
          <w:szCs w:val="22"/>
        </w:rPr>
        <w:t xml:space="preserve">Overall, these results indicate that H63D </w:t>
      </w:r>
      <w:r w:rsidR="00AF615B" w:rsidRPr="003131ED">
        <w:rPr>
          <w:rFonts w:eastAsia="Arial"/>
          <w:i/>
          <w:sz w:val="22"/>
          <w:szCs w:val="22"/>
        </w:rPr>
        <w:t>HFE</w:t>
      </w:r>
      <w:r w:rsidR="00AF615B" w:rsidRPr="003131ED">
        <w:rPr>
          <w:rFonts w:eastAsia="Arial"/>
          <w:sz w:val="22"/>
          <w:szCs w:val="22"/>
        </w:rPr>
        <w:t xml:space="preserve"> cells have increased levels of autophagic flux via </w:t>
      </w:r>
      <w:r w:rsidR="00606188" w:rsidRPr="003131ED">
        <w:rPr>
          <w:rFonts w:eastAsia="Arial"/>
          <w:sz w:val="22"/>
          <w:szCs w:val="22"/>
        </w:rPr>
        <w:t xml:space="preserve">elevated </w:t>
      </w:r>
      <w:r w:rsidR="00AF615B" w:rsidRPr="003131ED">
        <w:rPr>
          <w:rFonts w:eastAsia="Arial"/>
          <w:sz w:val="22"/>
          <w:szCs w:val="22"/>
        </w:rPr>
        <w:t xml:space="preserve">REDD1 </w:t>
      </w:r>
      <w:r w:rsidR="00606188" w:rsidRPr="003131ED">
        <w:rPr>
          <w:rFonts w:eastAsia="Arial"/>
          <w:sz w:val="22"/>
          <w:szCs w:val="22"/>
        </w:rPr>
        <w:t xml:space="preserve">expression </w:t>
      </w:r>
      <w:r w:rsidR="00AF615B" w:rsidRPr="003131ED">
        <w:rPr>
          <w:rFonts w:eastAsia="Arial"/>
          <w:sz w:val="22"/>
          <w:szCs w:val="22"/>
        </w:rPr>
        <w:t>and subsequent mTORC1 inhibition.</w:t>
      </w:r>
      <w:r w:rsidR="00F828D1" w:rsidRPr="003131ED">
        <w:rPr>
          <w:rFonts w:eastAsia="Arial"/>
          <w:sz w:val="22"/>
          <w:szCs w:val="22"/>
        </w:rPr>
        <w:t xml:space="preserve"> Finally, REDD1 knockdown</w:t>
      </w:r>
      <w:r w:rsidR="00EF587B" w:rsidRPr="003131ED">
        <w:rPr>
          <w:rFonts w:eastAsia="Arial"/>
          <w:sz w:val="22"/>
          <w:szCs w:val="22"/>
        </w:rPr>
        <w:t xml:space="preserve"> diminished the viability of H63D </w:t>
      </w:r>
      <w:r w:rsidR="00EF587B" w:rsidRPr="003131ED">
        <w:rPr>
          <w:rFonts w:eastAsia="Arial"/>
          <w:i/>
          <w:sz w:val="22"/>
          <w:szCs w:val="22"/>
        </w:rPr>
        <w:t>HFE</w:t>
      </w:r>
      <w:r w:rsidR="00EF587B" w:rsidRPr="003131ED">
        <w:rPr>
          <w:rFonts w:eastAsia="Arial"/>
          <w:sz w:val="22"/>
          <w:szCs w:val="22"/>
        </w:rPr>
        <w:t xml:space="preserve"> cells with PFF treatment while having minimal effects in WT </w:t>
      </w:r>
      <w:r w:rsidR="00EF587B" w:rsidRPr="003131ED">
        <w:rPr>
          <w:rFonts w:eastAsia="Arial"/>
          <w:i/>
          <w:sz w:val="22"/>
          <w:szCs w:val="22"/>
        </w:rPr>
        <w:t xml:space="preserve">HFE </w:t>
      </w:r>
      <w:r w:rsidR="00EF587B" w:rsidRPr="003131ED">
        <w:rPr>
          <w:rFonts w:eastAsia="Arial"/>
          <w:sz w:val="22"/>
          <w:szCs w:val="22"/>
        </w:rPr>
        <w:t>cells</w:t>
      </w:r>
      <w:r w:rsidR="00611319" w:rsidRPr="003131ED">
        <w:rPr>
          <w:rFonts w:eastAsia="Arial"/>
          <w:sz w:val="22"/>
          <w:szCs w:val="22"/>
        </w:rPr>
        <w:t xml:space="preserve"> (</w:t>
      </w:r>
      <w:r w:rsidR="00611319" w:rsidRPr="003131ED">
        <w:rPr>
          <w:rFonts w:eastAsia="Arial"/>
          <w:b/>
          <w:sz w:val="22"/>
          <w:szCs w:val="22"/>
        </w:rPr>
        <w:t>Fig. 6E</w:t>
      </w:r>
      <w:r w:rsidR="00611319" w:rsidRPr="003131ED">
        <w:rPr>
          <w:rFonts w:eastAsia="Arial"/>
          <w:sz w:val="22"/>
          <w:szCs w:val="22"/>
        </w:rPr>
        <w:t>)</w:t>
      </w:r>
      <w:r w:rsidR="00EF587B" w:rsidRPr="003131ED">
        <w:rPr>
          <w:rFonts w:eastAsia="Arial"/>
          <w:sz w:val="22"/>
          <w:szCs w:val="22"/>
        </w:rPr>
        <w:t xml:space="preserve">, establishing a direct mechanistic connection between autophagy induction and protection from PFF toxicity. </w:t>
      </w:r>
    </w:p>
    <w:p w14:paraId="0085CB32" w14:textId="77777777" w:rsidR="00FC5156" w:rsidRPr="003131ED" w:rsidRDefault="00FC5156" w:rsidP="00D0468C">
      <w:pPr>
        <w:spacing w:line="360" w:lineRule="auto"/>
        <w:jc w:val="both"/>
        <w:rPr>
          <w:rFonts w:eastAsia="Arial"/>
          <w:sz w:val="22"/>
          <w:szCs w:val="22"/>
        </w:rPr>
      </w:pPr>
    </w:p>
    <w:p w14:paraId="5A549233" w14:textId="12A935E8" w:rsidR="003E6338" w:rsidRPr="003131ED" w:rsidRDefault="003E6338" w:rsidP="00D0468C">
      <w:pPr>
        <w:spacing w:line="360" w:lineRule="auto"/>
        <w:jc w:val="both"/>
        <w:rPr>
          <w:rFonts w:eastAsia="Arial"/>
          <w:b/>
          <w:sz w:val="22"/>
          <w:szCs w:val="22"/>
        </w:rPr>
      </w:pPr>
      <w:r w:rsidRPr="003131ED">
        <w:rPr>
          <w:rFonts w:eastAsia="Arial"/>
          <w:b/>
          <w:sz w:val="22"/>
          <w:szCs w:val="22"/>
        </w:rPr>
        <w:t>H63D HFE alters response to DFP treatment</w:t>
      </w:r>
    </w:p>
    <w:p w14:paraId="4009682B" w14:textId="13ECF44D" w:rsidR="001114C1" w:rsidRPr="003131ED" w:rsidRDefault="007C00B4" w:rsidP="00D0468C">
      <w:pPr>
        <w:spacing w:line="360" w:lineRule="auto"/>
        <w:jc w:val="both"/>
        <w:rPr>
          <w:rFonts w:eastAsia="Arial"/>
          <w:sz w:val="22"/>
          <w:szCs w:val="22"/>
        </w:rPr>
      </w:pPr>
      <w:r w:rsidRPr="003131ED">
        <w:rPr>
          <w:rFonts w:eastAsia="Arial"/>
          <w:sz w:val="22"/>
          <w:szCs w:val="22"/>
        </w:rPr>
        <w:t>W</w:t>
      </w:r>
      <w:r w:rsidR="007B3A73" w:rsidRPr="003131ED">
        <w:rPr>
          <w:rFonts w:eastAsia="Arial"/>
          <w:sz w:val="22"/>
          <w:szCs w:val="22"/>
        </w:rPr>
        <w:t xml:space="preserve">e investigated the </w:t>
      </w:r>
      <w:r w:rsidRPr="003131ED">
        <w:rPr>
          <w:rFonts w:eastAsia="Arial"/>
          <w:sz w:val="22"/>
          <w:szCs w:val="22"/>
        </w:rPr>
        <w:t>effect</w:t>
      </w:r>
      <w:r w:rsidR="0067300A" w:rsidRPr="003131ED">
        <w:rPr>
          <w:rFonts w:eastAsia="Arial"/>
          <w:sz w:val="22"/>
          <w:szCs w:val="22"/>
        </w:rPr>
        <w:t xml:space="preserve">s </w:t>
      </w:r>
      <w:r w:rsidRPr="003131ED">
        <w:rPr>
          <w:rFonts w:eastAsia="Arial"/>
          <w:sz w:val="22"/>
          <w:szCs w:val="22"/>
        </w:rPr>
        <w:t xml:space="preserve">of </w:t>
      </w:r>
      <w:r w:rsidR="00702430" w:rsidRPr="003131ED">
        <w:rPr>
          <w:rFonts w:eastAsia="Arial"/>
          <w:sz w:val="22"/>
          <w:szCs w:val="22"/>
        </w:rPr>
        <w:t>H63D</w:t>
      </w:r>
      <w:r w:rsidR="00702430" w:rsidRPr="003131ED">
        <w:rPr>
          <w:rFonts w:eastAsia="Arial"/>
          <w:i/>
          <w:sz w:val="22"/>
          <w:szCs w:val="22"/>
        </w:rPr>
        <w:t xml:space="preserve"> HFE</w:t>
      </w:r>
      <w:r w:rsidR="00702430" w:rsidRPr="003131ED">
        <w:rPr>
          <w:rFonts w:eastAsia="Arial"/>
          <w:sz w:val="22"/>
          <w:szCs w:val="22"/>
        </w:rPr>
        <w:t xml:space="preserve"> gene</w:t>
      </w:r>
      <w:r w:rsidRPr="003131ED">
        <w:rPr>
          <w:rFonts w:eastAsia="Arial"/>
          <w:sz w:val="22"/>
          <w:szCs w:val="22"/>
        </w:rPr>
        <w:t xml:space="preserve"> on the </w:t>
      </w:r>
      <w:r w:rsidR="007B3A73" w:rsidRPr="003131ED">
        <w:rPr>
          <w:rFonts w:eastAsia="Arial"/>
          <w:sz w:val="22"/>
          <w:szCs w:val="22"/>
        </w:rPr>
        <w:t xml:space="preserve">neuroprotective </w:t>
      </w:r>
      <w:r w:rsidR="0067300A" w:rsidRPr="003131ED">
        <w:rPr>
          <w:rFonts w:eastAsia="Arial"/>
          <w:sz w:val="22"/>
          <w:szCs w:val="22"/>
        </w:rPr>
        <w:t>properties</w:t>
      </w:r>
      <w:r w:rsidR="007B3A73" w:rsidRPr="003131ED">
        <w:rPr>
          <w:rFonts w:eastAsia="Arial"/>
          <w:sz w:val="22"/>
          <w:szCs w:val="22"/>
        </w:rPr>
        <w:t xml:space="preserve"> of the iron chelator deferiprone (DFP) </w:t>
      </w:r>
      <w:r w:rsidRPr="003131ED">
        <w:rPr>
          <w:rFonts w:eastAsia="Arial"/>
          <w:sz w:val="22"/>
          <w:szCs w:val="22"/>
        </w:rPr>
        <w:t>i</w:t>
      </w:r>
      <w:r w:rsidR="007B3A73" w:rsidRPr="003131ED">
        <w:rPr>
          <w:rFonts w:eastAsia="Arial"/>
          <w:sz w:val="22"/>
          <w:szCs w:val="22"/>
        </w:rPr>
        <w:t xml:space="preserve">n the pre-formed fibril model.  </w:t>
      </w:r>
      <w:r w:rsidR="00E37DA1" w:rsidRPr="003131ED">
        <w:rPr>
          <w:rFonts w:eastAsia="Arial"/>
          <w:sz w:val="22"/>
          <w:szCs w:val="22"/>
        </w:rPr>
        <w:t>Iron chelation by DFP treatment was confirmed with calc</w:t>
      </w:r>
      <w:r w:rsidR="00763ABB" w:rsidRPr="003131ED">
        <w:rPr>
          <w:rFonts w:eastAsia="Arial"/>
          <w:sz w:val="22"/>
          <w:szCs w:val="22"/>
        </w:rPr>
        <w:t>ein fluorescence and H-ferritin western blots (</w:t>
      </w:r>
      <w:r w:rsidR="00763ABB" w:rsidRPr="003131ED">
        <w:rPr>
          <w:rFonts w:eastAsia="Arial"/>
          <w:b/>
          <w:sz w:val="22"/>
          <w:szCs w:val="22"/>
        </w:rPr>
        <w:t>Supplemental Fig. 2A, Supplemental Fig. 2B</w:t>
      </w:r>
      <w:r w:rsidR="00763ABB" w:rsidRPr="003131ED">
        <w:rPr>
          <w:rFonts w:eastAsia="Arial"/>
          <w:sz w:val="22"/>
          <w:szCs w:val="22"/>
        </w:rPr>
        <w:t xml:space="preserve">). </w:t>
      </w:r>
      <w:r w:rsidR="007B3A73" w:rsidRPr="003131ED">
        <w:rPr>
          <w:rFonts w:eastAsia="Arial"/>
          <w:sz w:val="22"/>
          <w:szCs w:val="22"/>
        </w:rPr>
        <w:t xml:space="preserve">Cells were treated with 1.5uM PFF for 5 days, then 1, 10, 30uM of deferiprone was added to the media for 2 </w:t>
      </w:r>
      <w:r w:rsidR="007B3A73" w:rsidRPr="003131ED">
        <w:rPr>
          <w:rFonts w:eastAsia="Arial"/>
          <w:sz w:val="22"/>
          <w:szCs w:val="22"/>
        </w:rPr>
        <w:lastRenderedPageBreak/>
        <w:t xml:space="preserve">additional days. </w:t>
      </w:r>
      <w:r w:rsidR="000F16FC" w:rsidRPr="003131ED">
        <w:rPr>
          <w:rFonts w:eastAsia="Arial"/>
          <w:sz w:val="22"/>
          <w:szCs w:val="22"/>
        </w:rPr>
        <w:t xml:space="preserve">Iron chelation has been previously reported to repress mTOR activity through the induction of REDD1 expression </w:t>
      </w:r>
      <w:r w:rsidR="000F16FC" w:rsidRPr="003131ED">
        <w:rPr>
          <w:rFonts w:eastAsia="Arial"/>
          <w:sz w:val="22"/>
          <w:szCs w:val="22"/>
        </w:rPr>
        <w:fldChar w:fldCharType="begin" w:fldLock="1"/>
      </w:r>
      <w:r w:rsidR="00D86B9A" w:rsidRPr="003131ED">
        <w:rPr>
          <w:rFonts w:eastAsia="Arial"/>
          <w:sz w:val="22"/>
          <w:szCs w:val="22"/>
        </w:rPr>
        <w:instrText>ADDIN CSL_CITATION {"citationItems":[{"id":"ITEM-1","itemData":{"DOI":"10.1111/j.1349-7006.2009.01131.x","ISSN":"13479032","PMID":"19298223","abstract":"To evaluate the effect of deferasirox in human myeloid leukemia cells, and to identify the moleclular pathways responsible for antiproliferative effects on leukemia cells during chelation therapy, we performed gene expression profiling to focus on the pathway involved in the anticancer effect of deferasirox. The inhibitory concentration (IC 50 ) of deferasirox was 17-50 μM in three human myeloid cell lines (K562, U937, and HL60), while those in fresh leukemia cells obtained from four patients it varied from 88 to 172 μM. Gene expression profiling using Affymerix GeneChips (U133 Plus 2.0) revealed up-regulation of cyclin-dependent kinase inhibitor 1A (CDKN1A) encoding p21 CIP , genes regulating interferon (i.e. IFIT1). Pathways related to iron metabolism and hypoxia such as growth differentiation factor 15 (GDF-15) and Regulated in development and DNA damage response (REDD1) were also prominent. Based on the results obtained from gene expression profiling, we particularly focused on the REDD1/mTOR (mammalian target of rapamycin) pathway in deferasirox-treated K562 cells, and found an enhanced expression of REDD1 and its down-stream protein, tuberin (TSC2). Notably, S6 ribosomal protein as well as phosphorylated S6, which is known to be a target of mTOR, was significantly repressed in deferasirox-treated K562 cells, and REDD1 small interfering RNA restored phosphorylation of S6. Although iron chelation may affect multiple signaling pathways related to cell survival, our data support the conclusion that REDD1 functions up-stream of tuberin to down-regulate the mTOR pathway in response to deferasirox. Deferasirox might not only have benefit for iron chelation but also may be an antiproliferative agent in some myeloid leukemias, especially patients who need both iron chelation and reduction of leukemia cells. © 2009 Japanese Cancer Association.","author":[{"dropping-particle":"","family":"Ohyashiki","given":"Junko H.","non-dropping-particle":"","parse-names":false,"suffix":""},{"dropping-particle":"","family":"Kobayashi","given":"Chiaki","non-dropping-particle":"","parse-names":false,"suffix":""},{"dropping-particle":"","family":"Hamamura","given":"Ryoko","non-dropping-particle":"","parse-names":false,"suffix":""},{"dropping-particle":"","family":"Okabe","given":"Seiichi","non-dropping-particle":"","parse-names":false,"suffix":""},{"dropping-particle":"","family":"Tauchi","given":"Tetsuzo","non-dropping-particle":"","parse-names":false,"suffix":""},{"dropping-particle":"","family":"Ohyashiki","given":"Kazuma","non-dropping-particle":"","parse-names":false,"suffix":""}],"container-title":"Cancer Science","id":"ITEM-1","issue":"5","issued":{"date-parts":[["2009","5"]]},"page":"970-977","title":"The oral iron chelator deferasirox represses signaling through the mTOR in myeloid leukemia cells by enhancing expression of REDD1","type":"article-journal","volume":"100"},"uris":["http://www.mendeley.com/documents/?uuid=d42b66b9-4766-39d3-b3fe-73c7692d4998"]}],"mendeley":{"formattedCitation":"(Ohyashiki &lt;i&gt;et al.&lt;/i&gt; 2009)","plainTextFormattedCitation":"(Ohyashiki et al. 2009)","previouslyFormattedCitation":"(Ohyashiki &lt;i&gt;et al.&lt;/i&gt; 2009)"},"properties":{"noteIndex":0},"schema":"https://github.com/citation-style-language/schema/raw/master/csl-citation.json"}</w:instrText>
      </w:r>
      <w:r w:rsidR="000F16FC" w:rsidRPr="003131ED">
        <w:rPr>
          <w:rFonts w:eastAsia="Arial"/>
          <w:sz w:val="22"/>
          <w:szCs w:val="22"/>
        </w:rPr>
        <w:fldChar w:fldCharType="separate"/>
      </w:r>
      <w:r w:rsidR="00D86B9A" w:rsidRPr="003131ED">
        <w:rPr>
          <w:rFonts w:eastAsia="Arial"/>
          <w:noProof/>
          <w:sz w:val="22"/>
          <w:szCs w:val="22"/>
        </w:rPr>
        <w:t xml:space="preserve">(Ohyashiki </w:t>
      </w:r>
      <w:r w:rsidR="00D86B9A" w:rsidRPr="003131ED">
        <w:rPr>
          <w:rFonts w:eastAsia="Arial"/>
          <w:i/>
          <w:noProof/>
          <w:sz w:val="22"/>
          <w:szCs w:val="22"/>
        </w:rPr>
        <w:t>et al.</w:t>
      </w:r>
      <w:r w:rsidR="00D86B9A" w:rsidRPr="003131ED">
        <w:rPr>
          <w:rFonts w:eastAsia="Arial"/>
          <w:noProof/>
          <w:sz w:val="22"/>
          <w:szCs w:val="22"/>
        </w:rPr>
        <w:t xml:space="preserve"> 2009)</w:t>
      </w:r>
      <w:r w:rsidR="000F16FC" w:rsidRPr="003131ED">
        <w:rPr>
          <w:rFonts w:eastAsia="Arial"/>
          <w:sz w:val="22"/>
          <w:szCs w:val="22"/>
        </w:rPr>
        <w:fldChar w:fldCharType="end"/>
      </w:r>
      <w:r w:rsidR="000F16FC" w:rsidRPr="003131ED">
        <w:rPr>
          <w:rFonts w:eastAsia="Arial"/>
          <w:sz w:val="22"/>
          <w:szCs w:val="22"/>
        </w:rPr>
        <w:t xml:space="preserve">. Changes in autophagic flux with DFP treatment </w:t>
      </w:r>
      <w:r w:rsidR="00FF2E95" w:rsidRPr="003131ED">
        <w:rPr>
          <w:rFonts w:eastAsia="Arial"/>
          <w:sz w:val="22"/>
          <w:szCs w:val="22"/>
        </w:rPr>
        <w:t>was assessed using LC3 western blot (</w:t>
      </w:r>
      <w:r w:rsidR="00FF2E95" w:rsidRPr="003131ED">
        <w:rPr>
          <w:rFonts w:eastAsia="Arial"/>
          <w:b/>
          <w:sz w:val="22"/>
          <w:szCs w:val="22"/>
        </w:rPr>
        <w:t xml:space="preserve">Fig. </w:t>
      </w:r>
      <w:r w:rsidR="00F828D1" w:rsidRPr="003131ED">
        <w:rPr>
          <w:rFonts w:eastAsia="Arial"/>
          <w:b/>
          <w:sz w:val="22"/>
          <w:szCs w:val="22"/>
        </w:rPr>
        <w:t>7</w:t>
      </w:r>
      <w:r w:rsidR="00FF2E95" w:rsidRPr="003131ED">
        <w:rPr>
          <w:rFonts w:eastAsia="Arial"/>
          <w:b/>
          <w:sz w:val="22"/>
          <w:szCs w:val="22"/>
        </w:rPr>
        <w:t>A)</w:t>
      </w:r>
      <w:r w:rsidR="00FF2E95" w:rsidRPr="003131ED">
        <w:rPr>
          <w:rFonts w:eastAsia="Arial"/>
          <w:sz w:val="22"/>
          <w:szCs w:val="22"/>
        </w:rPr>
        <w:t>, which showed autophagy induction in WT</w:t>
      </w:r>
      <w:r w:rsidR="00FF2E95" w:rsidRPr="003131ED">
        <w:rPr>
          <w:rFonts w:eastAsia="Arial"/>
          <w:i/>
          <w:sz w:val="22"/>
          <w:szCs w:val="22"/>
        </w:rPr>
        <w:t xml:space="preserve"> HFE</w:t>
      </w:r>
      <w:r w:rsidR="00FF2E95" w:rsidRPr="003131ED">
        <w:rPr>
          <w:rFonts w:eastAsia="Arial"/>
          <w:sz w:val="22"/>
          <w:szCs w:val="22"/>
        </w:rPr>
        <w:t xml:space="preserve"> </w:t>
      </w:r>
      <w:r w:rsidR="00720C94" w:rsidRPr="003131ED">
        <w:rPr>
          <w:rFonts w:eastAsia="Arial"/>
          <w:sz w:val="22"/>
          <w:szCs w:val="22"/>
        </w:rPr>
        <w:t xml:space="preserve">cells </w:t>
      </w:r>
      <w:r w:rsidR="00367DED" w:rsidRPr="003131ED">
        <w:rPr>
          <w:rFonts w:eastAsia="Arial"/>
          <w:sz w:val="22"/>
          <w:szCs w:val="22"/>
        </w:rPr>
        <w:t>but</w:t>
      </w:r>
      <w:r w:rsidR="00FF2E95" w:rsidRPr="003131ED">
        <w:rPr>
          <w:rFonts w:eastAsia="Arial"/>
          <w:sz w:val="22"/>
          <w:szCs w:val="22"/>
        </w:rPr>
        <w:t xml:space="preserve"> </w:t>
      </w:r>
      <w:r w:rsidR="00720C94" w:rsidRPr="003131ED">
        <w:rPr>
          <w:rFonts w:eastAsia="Arial"/>
          <w:sz w:val="22"/>
          <w:szCs w:val="22"/>
        </w:rPr>
        <w:t xml:space="preserve">decreased flux </w:t>
      </w:r>
      <w:r w:rsidR="001114C1" w:rsidRPr="003131ED">
        <w:rPr>
          <w:rFonts w:eastAsia="Arial"/>
          <w:sz w:val="22"/>
          <w:szCs w:val="22"/>
        </w:rPr>
        <w:t xml:space="preserve">at lower DFP concentration </w:t>
      </w:r>
      <w:r w:rsidR="00720C94" w:rsidRPr="003131ED">
        <w:rPr>
          <w:rFonts w:eastAsia="Arial"/>
          <w:sz w:val="22"/>
          <w:szCs w:val="22"/>
        </w:rPr>
        <w:t xml:space="preserve">or </w:t>
      </w:r>
      <w:r w:rsidR="001114C1" w:rsidRPr="003131ED">
        <w:rPr>
          <w:rFonts w:eastAsia="Arial"/>
          <w:sz w:val="22"/>
          <w:szCs w:val="22"/>
        </w:rPr>
        <w:t xml:space="preserve">return to baseline at higher DFP concentration </w:t>
      </w:r>
      <w:r w:rsidR="00720C94" w:rsidRPr="003131ED">
        <w:rPr>
          <w:rFonts w:eastAsia="Arial"/>
          <w:sz w:val="22"/>
          <w:szCs w:val="22"/>
        </w:rPr>
        <w:t xml:space="preserve">in H63D </w:t>
      </w:r>
      <w:r w:rsidR="00720C94" w:rsidRPr="003131ED">
        <w:rPr>
          <w:rFonts w:eastAsia="Arial"/>
          <w:i/>
          <w:sz w:val="22"/>
          <w:szCs w:val="22"/>
        </w:rPr>
        <w:t>HFE</w:t>
      </w:r>
      <w:r w:rsidR="00720C94" w:rsidRPr="003131ED">
        <w:rPr>
          <w:rFonts w:eastAsia="Arial"/>
          <w:sz w:val="22"/>
          <w:szCs w:val="22"/>
        </w:rPr>
        <w:t xml:space="preserve"> cells. </w:t>
      </w:r>
      <w:r w:rsidR="007910BB" w:rsidRPr="003131ED">
        <w:rPr>
          <w:rFonts w:eastAsia="Arial"/>
          <w:sz w:val="22"/>
          <w:szCs w:val="22"/>
        </w:rPr>
        <w:t xml:space="preserve"> </w:t>
      </w:r>
      <w:r w:rsidR="00472669" w:rsidRPr="003131ED">
        <w:rPr>
          <w:rFonts w:eastAsia="Arial"/>
          <w:sz w:val="22"/>
          <w:szCs w:val="22"/>
        </w:rPr>
        <w:t xml:space="preserve">Consistent with this result, co-treatment with DFP and </w:t>
      </w:r>
      <w:r w:rsidR="00472669" w:rsidRPr="003131ED">
        <w:rPr>
          <w:rFonts w:eastAsia="Arial"/>
          <w:sz w:val="22"/>
          <w:szCs w:val="22"/>
        </w:rPr>
        <w:sym w:font="Symbol" w:char="F061"/>
      </w:r>
      <w:r w:rsidR="00472669" w:rsidRPr="003131ED">
        <w:rPr>
          <w:rFonts w:eastAsia="Arial"/>
          <w:sz w:val="22"/>
          <w:szCs w:val="22"/>
        </w:rPr>
        <w:t xml:space="preserve">-synuclein PFFs resulted in a decrease in total </w:t>
      </w:r>
      <w:r w:rsidR="00472669" w:rsidRPr="003131ED">
        <w:rPr>
          <w:rFonts w:eastAsia="Arial"/>
          <w:sz w:val="22"/>
          <w:szCs w:val="22"/>
        </w:rPr>
        <w:sym w:font="Symbol" w:char="F061"/>
      </w:r>
      <w:r w:rsidR="00472669" w:rsidRPr="003131ED">
        <w:rPr>
          <w:rFonts w:eastAsia="Arial"/>
          <w:sz w:val="22"/>
          <w:szCs w:val="22"/>
        </w:rPr>
        <w:t xml:space="preserve">-synuclein level in WT cells that was significant at the highest DFP dose. In contrast, H63D </w:t>
      </w:r>
      <w:r w:rsidR="00472669" w:rsidRPr="003131ED">
        <w:rPr>
          <w:rFonts w:eastAsia="Arial"/>
          <w:i/>
          <w:sz w:val="22"/>
          <w:szCs w:val="22"/>
        </w:rPr>
        <w:t xml:space="preserve">HFE </w:t>
      </w:r>
      <w:r w:rsidR="00472669" w:rsidRPr="003131ED">
        <w:rPr>
          <w:rFonts w:eastAsia="Arial"/>
          <w:sz w:val="22"/>
          <w:szCs w:val="22"/>
        </w:rPr>
        <w:t xml:space="preserve">cells had significantly elevated levels of </w:t>
      </w:r>
      <w:r w:rsidR="00472669" w:rsidRPr="003131ED">
        <w:rPr>
          <w:rFonts w:eastAsia="Arial"/>
          <w:sz w:val="22"/>
          <w:szCs w:val="22"/>
        </w:rPr>
        <w:sym w:font="Symbol" w:char="F061"/>
      </w:r>
      <w:r w:rsidR="00472669" w:rsidRPr="003131ED">
        <w:rPr>
          <w:rFonts w:eastAsia="Arial"/>
          <w:sz w:val="22"/>
          <w:szCs w:val="22"/>
        </w:rPr>
        <w:t xml:space="preserve">-synuclein at the low DFP concentration of 1uM while at high concentrations, </w:t>
      </w:r>
      <w:r w:rsidR="00472669" w:rsidRPr="003131ED">
        <w:rPr>
          <w:rFonts w:eastAsia="Arial"/>
          <w:sz w:val="22"/>
          <w:szCs w:val="22"/>
        </w:rPr>
        <w:sym w:font="Symbol" w:char="F061"/>
      </w:r>
      <w:r w:rsidR="00472669" w:rsidRPr="003131ED">
        <w:rPr>
          <w:rFonts w:eastAsia="Arial"/>
          <w:sz w:val="22"/>
          <w:szCs w:val="22"/>
        </w:rPr>
        <w:t>-synuclein levels were essentially unaffected (</w:t>
      </w:r>
      <w:r w:rsidR="00472669" w:rsidRPr="003131ED">
        <w:rPr>
          <w:rFonts w:eastAsia="Arial"/>
          <w:b/>
          <w:sz w:val="22"/>
          <w:szCs w:val="22"/>
        </w:rPr>
        <w:t xml:space="preserve">Fig. </w:t>
      </w:r>
      <w:r w:rsidR="00F828D1" w:rsidRPr="003131ED">
        <w:rPr>
          <w:rFonts w:eastAsia="Arial"/>
          <w:b/>
          <w:sz w:val="22"/>
          <w:szCs w:val="22"/>
        </w:rPr>
        <w:t>7</w:t>
      </w:r>
      <w:r w:rsidR="00472669" w:rsidRPr="003131ED">
        <w:rPr>
          <w:rFonts w:eastAsia="Arial"/>
          <w:b/>
          <w:sz w:val="22"/>
          <w:szCs w:val="22"/>
        </w:rPr>
        <w:t>B)</w:t>
      </w:r>
      <w:r w:rsidR="00472669" w:rsidRPr="003131ED">
        <w:rPr>
          <w:rFonts w:eastAsia="Arial"/>
          <w:sz w:val="22"/>
          <w:szCs w:val="22"/>
        </w:rPr>
        <w:t>. Similar response patterns were observed for cell viability after 1.5uM monomer + 5uM PFF treatment</w:t>
      </w:r>
      <w:r w:rsidR="00FE1461" w:rsidRPr="003131ED">
        <w:rPr>
          <w:rFonts w:eastAsia="Arial"/>
          <w:sz w:val="22"/>
          <w:szCs w:val="22"/>
        </w:rPr>
        <w:t xml:space="preserve"> (</w:t>
      </w:r>
      <w:r w:rsidR="00FE1461" w:rsidRPr="003131ED">
        <w:rPr>
          <w:rFonts w:eastAsia="Arial"/>
          <w:b/>
          <w:sz w:val="22"/>
          <w:szCs w:val="22"/>
        </w:rPr>
        <w:t xml:space="preserve">Fig. </w:t>
      </w:r>
      <w:r w:rsidR="00F828D1" w:rsidRPr="003131ED">
        <w:rPr>
          <w:rFonts w:eastAsia="Arial"/>
          <w:b/>
          <w:sz w:val="22"/>
          <w:szCs w:val="22"/>
        </w:rPr>
        <w:t>7</w:t>
      </w:r>
      <w:r w:rsidR="00FE1461" w:rsidRPr="003131ED">
        <w:rPr>
          <w:rFonts w:eastAsia="Arial"/>
          <w:b/>
          <w:sz w:val="22"/>
          <w:szCs w:val="22"/>
        </w:rPr>
        <w:t>C</w:t>
      </w:r>
      <w:r w:rsidR="00FE1461" w:rsidRPr="003131ED">
        <w:rPr>
          <w:rFonts w:eastAsia="Arial"/>
          <w:sz w:val="22"/>
          <w:szCs w:val="22"/>
        </w:rPr>
        <w:t xml:space="preserve">). </w:t>
      </w:r>
    </w:p>
    <w:p w14:paraId="78B02A36" w14:textId="77777777" w:rsidR="00FE1461" w:rsidRPr="003131ED" w:rsidRDefault="00FE1461" w:rsidP="00D0468C">
      <w:pPr>
        <w:spacing w:line="360" w:lineRule="auto"/>
        <w:jc w:val="both"/>
        <w:rPr>
          <w:rFonts w:eastAsia="Arial"/>
          <w:sz w:val="22"/>
          <w:szCs w:val="22"/>
        </w:rPr>
      </w:pPr>
    </w:p>
    <w:p w14:paraId="295535A5" w14:textId="6870C01D" w:rsidR="00B16685" w:rsidRPr="003131ED" w:rsidRDefault="00370D94" w:rsidP="00D0468C">
      <w:pPr>
        <w:spacing w:line="360" w:lineRule="auto"/>
        <w:jc w:val="both"/>
        <w:rPr>
          <w:sz w:val="22"/>
          <w:szCs w:val="22"/>
        </w:rPr>
      </w:pPr>
      <w:r w:rsidRPr="003131ED">
        <w:rPr>
          <w:b/>
          <w:sz w:val="22"/>
          <w:szCs w:val="22"/>
        </w:rPr>
        <w:t xml:space="preserve">H67D </w:t>
      </w:r>
      <w:r w:rsidRPr="003131ED">
        <w:rPr>
          <w:b/>
          <w:i/>
          <w:sz w:val="22"/>
          <w:szCs w:val="22"/>
        </w:rPr>
        <w:t>Hfe</w:t>
      </w:r>
      <w:r w:rsidRPr="003131ED">
        <w:rPr>
          <w:b/>
          <w:sz w:val="22"/>
          <w:szCs w:val="22"/>
        </w:rPr>
        <w:t xml:space="preserve"> mice are </w:t>
      </w:r>
      <w:r w:rsidR="00FD5D18" w:rsidRPr="003131ED">
        <w:rPr>
          <w:b/>
          <w:sz w:val="22"/>
          <w:szCs w:val="22"/>
        </w:rPr>
        <w:t>relatively resistant to</w:t>
      </w:r>
      <w:r w:rsidRPr="003131ED">
        <w:rPr>
          <w:b/>
          <w:sz w:val="22"/>
          <w:szCs w:val="22"/>
        </w:rPr>
        <w:t xml:space="preserve"> PFF mediated loss of motor function and </w:t>
      </w:r>
      <w:r w:rsidRPr="003131ED">
        <w:rPr>
          <w:b/>
          <w:sz w:val="22"/>
          <w:szCs w:val="22"/>
        </w:rPr>
        <w:sym w:font="Symbol" w:char="F061"/>
      </w:r>
      <w:r w:rsidRPr="003131ED">
        <w:rPr>
          <w:b/>
          <w:sz w:val="22"/>
          <w:szCs w:val="22"/>
        </w:rPr>
        <w:t>-synuclein aggregation</w:t>
      </w:r>
      <w:r w:rsidR="00FC3933" w:rsidRPr="003131ED">
        <w:rPr>
          <w:b/>
          <w:sz w:val="22"/>
          <w:szCs w:val="22"/>
        </w:rPr>
        <w:t xml:space="preserve"> </w:t>
      </w:r>
    </w:p>
    <w:p w14:paraId="554A9262" w14:textId="55DDCD61" w:rsidR="00370D94" w:rsidRPr="003131ED" w:rsidRDefault="00C918D8" w:rsidP="00D0468C">
      <w:pPr>
        <w:spacing w:line="360" w:lineRule="auto"/>
        <w:jc w:val="both"/>
        <w:rPr>
          <w:rFonts w:eastAsia="Arial"/>
          <w:sz w:val="22"/>
          <w:szCs w:val="22"/>
        </w:rPr>
      </w:pPr>
      <w:r w:rsidRPr="003131ED">
        <w:rPr>
          <w:rFonts w:eastAsia="Arial"/>
          <w:sz w:val="22"/>
          <w:szCs w:val="22"/>
        </w:rPr>
        <w:t xml:space="preserve">To investigate the </w:t>
      </w:r>
      <w:r w:rsidR="009C4B9D" w:rsidRPr="003131ED">
        <w:rPr>
          <w:rFonts w:eastAsia="Arial"/>
          <w:sz w:val="22"/>
          <w:szCs w:val="22"/>
        </w:rPr>
        <w:t xml:space="preserve">impact of H63D </w:t>
      </w:r>
      <w:r w:rsidR="009C4B9D" w:rsidRPr="003131ED">
        <w:rPr>
          <w:rFonts w:eastAsia="Arial"/>
          <w:i/>
          <w:sz w:val="22"/>
          <w:szCs w:val="22"/>
        </w:rPr>
        <w:t>HFE</w:t>
      </w:r>
      <w:r w:rsidR="009C4B9D" w:rsidRPr="003131ED">
        <w:rPr>
          <w:rFonts w:eastAsia="Arial"/>
          <w:sz w:val="22"/>
          <w:szCs w:val="22"/>
        </w:rPr>
        <w:t xml:space="preserve"> in an </w:t>
      </w:r>
      <w:r w:rsidR="009C4B9D" w:rsidRPr="003131ED">
        <w:rPr>
          <w:rFonts w:eastAsia="Arial"/>
          <w:i/>
          <w:sz w:val="22"/>
          <w:szCs w:val="22"/>
        </w:rPr>
        <w:t>in vivo</w:t>
      </w:r>
      <w:r w:rsidR="009C4B9D" w:rsidRPr="003131ED">
        <w:rPr>
          <w:rFonts w:eastAsia="Arial"/>
          <w:sz w:val="22"/>
          <w:szCs w:val="22"/>
        </w:rPr>
        <w:t xml:space="preserve"> model of Parkinson’s disease, WT and H67D </w:t>
      </w:r>
      <w:r w:rsidR="009C4B9D" w:rsidRPr="003131ED">
        <w:rPr>
          <w:rFonts w:eastAsia="Arial"/>
          <w:i/>
          <w:sz w:val="22"/>
          <w:szCs w:val="22"/>
        </w:rPr>
        <w:t xml:space="preserve">Hfe </w:t>
      </w:r>
      <w:r w:rsidR="009C4B9D" w:rsidRPr="003131ED">
        <w:rPr>
          <w:rFonts w:eastAsia="Arial"/>
          <w:sz w:val="22"/>
          <w:szCs w:val="22"/>
        </w:rPr>
        <w:t xml:space="preserve">expressing mice were injected with </w:t>
      </w:r>
      <w:r w:rsidR="00C532ED" w:rsidRPr="003131ED">
        <w:rPr>
          <w:rFonts w:eastAsia="Arial"/>
          <w:sz w:val="22"/>
          <w:szCs w:val="22"/>
        </w:rPr>
        <w:sym w:font="Symbol" w:char="F061"/>
      </w:r>
      <w:r w:rsidR="00C532ED" w:rsidRPr="003131ED">
        <w:rPr>
          <w:rFonts w:eastAsia="Arial"/>
          <w:sz w:val="22"/>
          <w:szCs w:val="22"/>
        </w:rPr>
        <w:t xml:space="preserve">-synuclein PFFs. Previous studies with H67D </w:t>
      </w:r>
      <w:r w:rsidR="00C532ED" w:rsidRPr="003131ED">
        <w:rPr>
          <w:rFonts w:eastAsia="Arial"/>
          <w:i/>
          <w:sz w:val="22"/>
          <w:szCs w:val="22"/>
        </w:rPr>
        <w:t>Hfe</w:t>
      </w:r>
      <w:r w:rsidR="00C532ED" w:rsidRPr="003131ED">
        <w:rPr>
          <w:rFonts w:eastAsia="Arial"/>
          <w:sz w:val="22"/>
          <w:szCs w:val="22"/>
        </w:rPr>
        <w:t xml:space="preserve"> (mouse homolog of the human H63D</w:t>
      </w:r>
      <w:r w:rsidR="00C532ED" w:rsidRPr="003131ED">
        <w:rPr>
          <w:rFonts w:eastAsia="Arial"/>
          <w:i/>
          <w:sz w:val="22"/>
          <w:szCs w:val="22"/>
        </w:rPr>
        <w:t xml:space="preserve"> HFE</w:t>
      </w:r>
      <w:r w:rsidR="00C532ED" w:rsidRPr="003131ED">
        <w:rPr>
          <w:rFonts w:eastAsia="Arial"/>
          <w:sz w:val="22"/>
          <w:szCs w:val="22"/>
        </w:rPr>
        <w:t xml:space="preserve"> variant) mice show</w:t>
      </w:r>
      <w:r w:rsidR="002F3A57" w:rsidRPr="003131ED">
        <w:rPr>
          <w:rFonts w:eastAsia="Arial"/>
          <w:sz w:val="22"/>
          <w:szCs w:val="22"/>
        </w:rPr>
        <w:t>ed</w:t>
      </w:r>
      <w:r w:rsidR="00C532ED" w:rsidRPr="003131ED">
        <w:rPr>
          <w:rFonts w:eastAsia="Arial"/>
          <w:sz w:val="22"/>
          <w:szCs w:val="22"/>
        </w:rPr>
        <w:t xml:space="preserve"> altered brain iron regulation</w:t>
      </w:r>
      <w:r w:rsidR="001608F4" w:rsidRPr="003131ED">
        <w:rPr>
          <w:rFonts w:eastAsia="Arial"/>
          <w:sz w:val="22"/>
          <w:szCs w:val="22"/>
        </w:rPr>
        <w:t xml:space="preserve"> </w:t>
      </w:r>
      <w:r w:rsidR="00C532ED" w:rsidRPr="003131ED">
        <w:rPr>
          <w:rFonts w:eastAsia="Arial"/>
          <w:sz w:val="22"/>
          <w:szCs w:val="22"/>
        </w:rPr>
        <w:fldChar w:fldCharType="begin" w:fldLock="1"/>
      </w:r>
      <w:r w:rsidR="00931B4F" w:rsidRPr="003131ED">
        <w:rPr>
          <w:rFonts w:eastAsia="Arial"/>
          <w:sz w:val="22"/>
          <w:szCs w:val="22"/>
        </w:rPr>
        <w:instrText>ADDIN CSL_CITATION {"citationItems":[{"id":"ITEM-1","itemData":{"DOI":"10.1016/j.bbadis.2013.02.009","ISSN":"09254439","PMID":"23429074","abstract":"Because of the increasing evidence that H63D HFE polymorphism appears in higher frequency in neurodegenerative diseases, we evaluated the neurological consequences of H63D HFE in vivo using mice that carry H67D HFE (homologous to human H63D). Although total brain iron concentration did not change significantly in the H67D mice, brain iron management proteins expressions were altered significantly. The 6-month-old H67D mice had increased HFE and H-ferritin expression. At 12 months, H67D mice had increased H- and L-ferritin but decreased transferrin expression suggesting increased iron storage and decreased iron mobilization. Increased L-ferritin positive microglia in H67D mice suggests that microglia increase iron storage to maintain brain iron homeostasis. The 6-month-old H67D mice had increased levels of GFAP, increased oxidatively modified protein levels, and increased cystine/glutamate antiporter (xCT) and hemeoxygenase-1 (HO-1) expression indicating increased metabolic and oxidative stress. By 12 months, there was no longer increased astrogliosis or oxidative stress. The decrease in oxidative stress at 12 months could be related to an adaptive response by nuclear factor E2-related factor 2 (Nrf2) that regulates antioxidant enzymes expression and is increased in the H67D mice. These findings demonstrate that the H63D HFE impacts brain iron homeostasis, and promotes an environment of oxidative stress and induction of adaptive mechanisms. These data, along with literature reports on humans with HFE mutations provide the evidence to overturn the traditional paradigm that the brain is protected from HFE mutations. The H67D knock-in mouse can be used as a model to evaluate how the H63D HFE mutation contributes to neurodegenerative diseases.","author":[{"dropping-particle":"","family":"Nandar","given":"Wint","non-dropping-particle":"","parse-names":false,"suffix":""},{"dropping-particle":"","family":"Neely","given":"Elizabeth B.","non-dropping-particle":"","parse-names":false,"suffix":""},{"dropping-particle":"","family":"Unger","given":"Erica","non-dropping-particle":"","parse-names":false,"suffix":""},{"dropping-particle":"","family":"Connor","given":"James R.","non-dropping-particle":"","parse-names":false,"suffix":""}],"container-title":"Biochimica et Biophysica Acta (BBA) - Molecular Basis of Disease","id":"ITEM-1","issue":"6","issued":{"date-parts":[["2013","6"]]},"page":"729-741","title":"A mutation in the HFE gene is associated with altered brain iron profiles and increased oxidative stress in mice","type":"article-journal","volume":"1832"},"uris":["http://www.mendeley.com/documents/?uuid=364191a3-157f-3455-b064-9101e7d40246"]}],"mendeley":{"formattedCitation":"(Nandar &lt;i&gt;et al.&lt;/i&gt; 2013)","plainTextFormattedCitation":"(Nandar et al. 2013)","previouslyFormattedCitation":"(Nandar &lt;i&gt;et al.&lt;/i&gt; 2013)"},"properties":{"noteIndex":0},"schema":"https://github.com/citation-style-language/schema/raw/master/csl-citation.json"}</w:instrText>
      </w:r>
      <w:r w:rsidR="00C532ED" w:rsidRPr="003131ED">
        <w:rPr>
          <w:rFonts w:eastAsia="Arial"/>
          <w:sz w:val="22"/>
          <w:szCs w:val="22"/>
        </w:rPr>
        <w:fldChar w:fldCharType="separate"/>
      </w:r>
      <w:r w:rsidR="00931B4F" w:rsidRPr="003131ED">
        <w:rPr>
          <w:rFonts w:eastAsia="Arial"/>
          <w:noProof/>
          <w:sz w:val="22"/>
          <w:szCs w:val="22"/>
        </w:rPr>
        <w:t xml:space="preserve">(Nandar </w:t>
      </w:r>
      <w:r w:rsidR="00931B4F" w:rsidRPr="003131ED">
        <w:rPr>
          <w:rFonts w:eastAsia="Arial"/>
          <w:i/>
          <w:noProof/>
          <w:sz w:val="22"/>
          <w:szCs w:val="22"/>
        </w:rPr>
        <w:t>et al.</w:t>
      </w:r>
      <w:r w:rsidR="00931B4F" w:rsidRPr="003131ED">
        <w:rPr>
          <w:rFonts w:eastAsia="Arial"/>
          <w:noProof/>
          <w:sz w:val="22"/>
          <w:szCs w:val="22"/>
        </w:rPr>
        <w:t xml:space="preserve"> 2013)</w:t>
      </w:r>
      <w:r w:rsidR="00C532ED" w:rsidRPr="003131ED">
        <w:rPr>
          <w:rFonts w:eastAsia="Arial"/>
          <w:sz w:val="22"/>
          <w:szCs w:val="22"/>
        </w:rPr>
        <w:fldChar w:fldCharType="end"/>
      </w:r>
      <w:r w:rsidR="00C532ED" w:rsidRPr="003131ED">
        <w:rPr>
          <w:rFonts w:eastAsia="Arial"/>
          <w:sz w:val="22"/>
          <w:szCs w:val="22"/>
        </w:rPr>
        <w:t xml:space="preserve"> and protection from paraquat induced toxicity </w:t>
      </w:r>
      <w:r w:rsidR="00C532ED" w:rsidRPr="003131ED">
        <w:rPr>
          <w:rFonts w:eastAsia="Arial"/>
          <w:sz w:val="22"/>
          <w:szCs w:val="22"/>
        </w:rPr>
        <w:fldChar w:fldCharType="begin" w:fldLock="1"/>
      </w:r>
      <w:r w:rsidR="00E2705D" w:rsidRPr="003131ED">
        <w:rPr>
          <w:rFonts w:eastAsia="Arial"/>
          <w:sz w:val="22"/>
          <w:szCs w:val="22"/>
        </w:rPr>
        <w:instrText>ADDIN CSL_CITATION {"citationItems":[{"id":"ITEM-1","itemData":{"DOI":"10.1111/jnc.14299","ISSN":"00223042","PMID":"29315562","abstract":"Parkinson's disease is marked clinically by motor dysfunction and pathologically by dopaminergic cell loss in the substantia nigra and iron accumulation in the substantia nigra. The driver underlying iron accumulation remains unknown and could be genetic or environmental. The HFE protein is critical for the regulation of cellular iron uptake. Mutations within this protein are associated with increased iron accumulation including in the brain. We have focused on the commonly occurring H63D variant of the HFE gene as a disease modifier in a number of neurodegenerative diseases. To investigate the role of H63D HFE genotype, we generated a mouse model in which the wild-type (WT) HFE gene is replaced by the H67D gene variant (mouse homolog of the human H63D gene variant). Using paraquat toxicity as the model for Parkinson's disease, we found that WT mice responded as expected with significantly greater motor function, loss of tyrosine hydroxylase staining and increase microglial staining in the substantia nigra, and an increase in R2 relaxation rate within the substantia nigra of the paraquat-treated mice compared to their saline-treated counterparts. In contrast, the H67D mice showed a remarkable resistance to paraquat treatment; specifically differing from the WT mice with no changes in motor function or changes in R2 relaxation rates following paraquat exposure. At baseline, there were differences between the H67D HFE mice and WT mice in gut microbiome profile and increased L-ferritin staining in the substantia nigra that could account for the resistance to paraquat. Of particular note, the H67D HFE mice regardless of whether or not they were treated with paraquat had significantly less tyrosine hydroxylase immunostaining than WT. Our results clearly demonstrate that the HFE genotype impacts the expression of tyrosine hydroxylase in the substantia nigra, the gut microbiome and the response to paraquat providing additional support that the HFE genotype is a disease modifier for Parkinson's disease. Moreover, the finding that the HFE mutant mice are resistant to paraquat may provide a model in which to study resistant mechanisms to neurotoxicants.","author":[{"dropping-particle":"","family":"Nixon","given":"Anne M.","non-dropping-particle":"","parse-names":false,"suffix":""},{"dropping-particle":"","family":"Meadowcroft","given":"Mark D.","non-dropping-particle":"","parse-names":false,"suffix":""},{"dropping-particle":"","family":"Neely","given":"Elizabeth B.","non-dropping-particle":"","parse-names":false,"suffix":""},{"dropping-particle":"","family":"Snyder","given":"Amanda M.","non-dropping-particle":"","parse-names":false,"suffix":""},{"dropping-particle":"","family":"Purnell","given":"Carson J.","non-dropping-particle":"","parse-names":false,"suffix":""},{"dropping-particle":"","family":"Wright","given":"Justin","non-dropping-particle":"","parse-names":false,"suffix":""},{"dropping-particle":"","family":"Lamendella","given":"Regina","non-dropping-particle":"","parse-names":false,"suffix":""},{"dropping-particle":"","family":"Nandar","given":"Wint","non-dropping-particle":"","parse-names":false,"suffix":""},{"dropping-particle":"","family":"Huang","given":"Xuemei","non-dropping-particle":"","parse-names":false,"suffix":""},{"dropping-particle":"","family":"Connor","given":"James R.","non-dropping-particle":"","parse-names":false,"suffix":""}],"container-title":"Journal of Neurochemistry","id":"ITEM-1","issue":"4","issued":{"date-parts":[["2018","5"]]},"page":"299-311","title":"HFE Genotype Restricts the Response to Paraquat in a Mouse Model of Neurotoxicity","type":"article-journal","volume":"145"},"uris":["http://www.mendeley.com/documents/?uuid=91d467f8-61d0-307b-b2d1-a0ac2aab117f"]}],"mendeley":{"formattedCitation":"(Nixon &lt;i&gt;et al.&lt;/i&gt; 2018)","plainTextFormattedCitation":"(Nixon et al. 2018)","previouslyFormattedCitation":"(Nixon &lt;i&gt;et al.&lt;/i&gt; 2018)"},"properties":{"noteIndex":0},"schema":"https://github.com/citation-style-language/schema/raw/master/csl-citation.json"}</w:instrText>
      </w:r>
      <w:r w:rsidR="00C532ED" w:rsidRPr="003131ED">
        <w:rPr>
          <w:rFonts w:eastAsia="Arial"/>
          <w:sz w:val="22"/>
          <w:szCs w:val="22"/>
        </w:rPr>
        <w:fldChar w:fldCharType="separate"/>
      </w:r>
      <w:r w:rsidR="00C532ED" w:rsidRPr="003131ED">
        <w:rPr>
          <w:rFonts w:eastAsia="Arial"/>
          <w:noProof/>
          <w:sz w:val="22"/>
          <w:szCs w:val="22"/>
        </w:rPr>
        <w:t xml:space="preserve">(Nixon </w:t>
      </w:r>
      <w:r w:rsidR="00C532ED" w:rsidRPr="003131ED">
        <w:rPr>
          <w:rFonts w:eastAsia="Arial"/>
          <w:i/>
          <w:noProof/>
          <w:sz w:val="22"/>
          <w:szCs w:val="22"/>
        </w:rPr>
        <w:t>et al.</w:t>
      </w:r>
      <w:r w:rsidR="00C532ED" w:rsidRPr="003131ED">
        <w:rPr>
          <w:rFonts w:eastAsia="Arial"/>
          <w:noProof/>
          <w:sz w:val="22"/>
          <w:szCs w:val="22"/>
        </w:rPr>
        <w:t xml:space="preserve"> 2018)</w:t>
      </w:r>
      <w:r w:rsidR="00C532ED" w:rsidRPr="003131ED">
        <w:rPr>
          <w:rFonts w:eastAsia="Arial"/>
          <w:sz w:val="22"/>
          <w:szCs w:val="22"/>
        </w:rPr>
        <w:fldChar w:fldCharType="end"/>
      </w:r>
      <w:r w:rsidR="00C532ED" w:rsidRPr="003131ED">
        <w:rPr>
          <w:rFonts w:eastAsia="Arial"/>
          <w:sz w:val="22"/>
          <w:szCs w:val="22"/>
        </w:rPr>
        <w:t>. Male and female C57BL/6J × 129 WT and H67D</w:t>
      </w:r>
      <w:r w:rsidR="00C532ED" w:rsidRPr="003131ED">
        <w:rPr>
          <w:rFonts w:eastAsia="Arial"/>
          <w:i/>
          <w:sz w:val="22"/>
          <w:szCs w:val="22"/>
        </w:rPr>
        <w:t xml:space="preserve"> Hfe </w:t>
      </w:r>
      <w:r w:rsidR="00C532ED" w:rsidRPr="003131ED">
        <w:rPr>
          <w:rFonts w:eastAsia="Arial"/>
          <w:sz w:val="22"/>
          <w:szCs w:val="22"/>
        </w:rPr>
        <w:t>mice were stereotactically injected with 5ug of PFF in the right striatum and PBS in the left striatum. Motor function was assessed using a rotor rod</w:t>
      </w:r>
      <w:r w:rsidR="008F522C" w:rsidRPr="003131ED">
        <w:rPr>
          <w:rFonts w:eastAsia="Arial"/>
          <w:sz w:val="22"/>
          <w:szCs w:val="22"/>
        </w:rPr>
        <w:t xml:space="preserve"> test. WT </w:t>
      </w:r>
      <w:r w:rsidR="008F522C" w:rsidRPr="003131ED">
        <w:rPr>
          <w:rFonts w:eastAsia="Arial"/>
          <w:i/>
          <w:sz w:val="22"/>
          <w:szCs w:val="22"/>
        </w:rPr>
        <w:t>Hfe</w:t>
      </w:r>
      <w:r w:rsidR="008F522C" w:rsidRPr="003131ED">
        <w:rPr>
          <w:rFonts w:eastAsia="Arial"/>
          <w:sz w:val="22"/>
          <w:szCs w:val="22"/>
        </w:rPr>
        <w:t xml:space="preserve"> mice had </w:t>
      </w:r>
      <w:r w:rsidR="002F3A57" w:rsidRPr="003131ED">
        <w:rPr>
          <w:rFonts w:eastAsia="Arial"/>
          <w:sz w:val="22"/>
          <w:szCs w:val="22"/>
        </w:rPr>
        <w:t xml:space="preserve">a </w:t>
      </w:r>
      <w:r w:rsidR="008F522C" w:rsidRPr="003131ED">
        <w:rPr>
          <w:rFonts w:eastAsia="Arial"/>
          <w:sz w:val="22"/>
          <w:szCs w:val="22"/>
        </w:rPr>
        <w:t>significant increase in the total number of falls by 3 months post-injection (</w:t>
      </w:r>
      <w:r w:rsidR="008F522C" w:rsidRPr="003131ED">
        <w:rPr>
          <w:rFonts w:eastAsia="Arial"/>
          <w:b/>
          <w:sz w:val="22"/>
          <w:szCs w:val="22"/>
        </w:rPr>
        <w:t>Fig. 8A</w:t>
      </w:r>
      <w:r w:rsidR="008F522C" w:rsidRPr="003131ED">
        <w:rPr>
          <w:rFonts w:eastAsia="Arial"/>
          <w:sz w:val="22"/>
          <w:szCs w:val="22"/>
        </w:rPr>
        <w:t xml:space="preserve">) and </w:t>
      </w:r>
      <w:r w:rsidR="002F3A57" w:rsidRPr="003131ED">
        <w:rPr>
          <w:rFonts w:eastAsia="Arial"/>
          <w:sz w:val="22"/>
          <w:szCs w:val="22"/>
        </w:rPr>
        <w:t xml:space="preserve">a </w:t>
      </w:r>
      <w:r w:rsidR="008F522C" w:rsidRPr="003131ED">
        <w:rPr>
          <w:rFonts w:eastAsia="Arial"/>
          <w:sz w:val="22"/>
          <w:szCs w:val="22"/>
        </w:rPr>
        <w:t>significant decrease in time to first fall at 2 months and 3 months post-injection (</w:t>
      </w:r>
      <w:r w:rsidR="008F522C" w:rsidRPr="003131ED">
        <w:rPr>
          <w:rFonts w:eastAsia="Arial"/>
          <w:b/>
          <w:sz w:val="22"/>
          <w:szCs w:val="22"/>
        </w:rPr>
        <w:t>Fig. 8B</w:t>
      </w:r>
      <w:r w:rsidR="008F522C" w:rsidRPr="003131ED">
        <w:rPr>
          <w:rFonts w:eastAsia="Arial"/>
          <w:sz w:val="22"/>
          <w:szCs w:val="22"/>
        </w:rPr>
        <w:t xml:space="preserve">). H67D </w:t>
      </w:r>
      <w:r w:rsidR="008F522C" w:rsidRPr="003131ED">
        <w:rPr>
          <w:rFonts w:eastAsia="Arial"/>
          <w:i/>
          <w:sz w:val="22"/>
          <w:szCs w:val="22"/>
        </w:rPr>
        <w:t>Hfe</w:t>
      </w:r>
      <w:r w:rsidR="008F522C" w:rsidRPr="003131ED">
        <w:rPr>
          <w:rFonts w:eastAsia="Arial"/>
          <w:sz w:val="22"/>
          <w:szCs w:val="22"/>
        </w:rPr>
        <w:t xml:space="preserve"> mice did not </w:t>
      </w:r>
      <w:r w:rsidR="00675656" w:rsidRPr="003131ED">
        <w:rPr>
          <w:rFonts w:eastAsia="Arial"/>
          <w:sz w:val="22"/>
          <w:szCs w:val="22"/>
        </w:rPr>
        <w:t xml:space="preserve">show a decline in motor function by the end point of the study (3 months). </w:t>
      </w:r>
      <w:r w:rsidR="00C8686B" w:rsidRPr="003131ED">
        <w:rPr>
          <w:rFonts w:eastAsia="Arial"/>
          <w:sz w:val="22"/>
          <w:szCs w:val="22"/>
        </w:rPr>
        <w:t>Immuno</w:t>
      </w:r>
      <w:r w:rsidR="00CE5784" w:rsidRPr="003131ED">
        <w:rPr>
          <w:rFonts w:eastAsia="Arial"/>
          <w:sz w:val="22"/>
          <w:szCs w:val="22"/>
        </w:rPr>
        <w:t xml:space="preserve">histochemistry was used to detect </w:t>
      </w:r>
      <w:r w:rsidR="00FD678C" w:rsidRPr="003131ED">
        <w:rPr>
          <w:rFonts w:eastAsia="Arial"/>
          <w:sz w:val="22"/>
          <w:szCs w:val="22"/>
        </w:rPr>
        <w:t xml:space="preserve">the level of </w:t>
      </w:r>
      <w:r w:rsidR="00CE5784" w:rsidRPr="003131ED">
        <w:rPr>
          <w:rFonts w:eastAsia="Arial"/>
          <w:sz w:val="22"/>
          <w:szCs w:val="22"/>
        </w:rPr>
        <w:t xml:space="preserve">pS129 </w:t>
      </w:r>
      <w:r w:rsidR="00CE5784" w:rsidRPr="003131ED">
        <w:rPr>
          <w:rFonts w:eastAsia="Arial"/>
          <w:sz w:val="22"/>
          <w:szCs w:val="22"/>
        </w:rPr>
        <w:sym w:font="Symbol" w:char="F061"/>
      </w:r>
      <w:r w:rsidR="00CE5784" w:rsidRPr="003131ED">
        <w:rPr>
          <w:rFonts w:eastAsia="Arial"/>
          <w:sz w:val="22"/>
          <w:szCs w:val="22"/>
        </w:rPr>
        <w:t xml:space="preserve">-synuclein </w:t>
      </w:r>
      <w:r w:rsidR="002F3A57" w:rsidRPr="003131ED">
        <w:rPr>
          <w:rFonts w:eastAsia="Arial"/>
          <w:sz w:val="22"/>
          <w:szCs w:val="22"/>
        </w:rPr>
        <w:t xml:space="preserve">at 3 months </w:t>
      </w:r>
      <w:r w:rsidR="004E1DC4" w:rsidRPr="003131ED">
        <w:rPr>
          <w:rFonts w:eastAsia="Arial"/>
          <w:sz w:val="22"/>
          <w:szCs w:val="22"/>
        </w:rPr>
        <w:t>post-injection</w:t>
      </w:r>
      <w:r w:rsidR="00FD678C" w:rsidRPr="003131ED">
        <w:rPr>
          <w:rFonts w:eastAsia="Arial"/>
          <w:sz w:val="22"/>
          <w:szCs w:val="22"/>
        </w:rPr>
        <w:t xml:space="preserve">. Stronger pS129 </w:t>
      </w:r>
      <w:r w:rsidR="00FD678C" w:rsidRPr="003131ED">
        <w:rPr>
          <w:rFonts w:eastAsia="Arial"/>
          <w:sz w:val="22"/>
          <w:szCs w:val="22"/>
        </w:rPr>
        <w:sym w:font="Symbol" w:char="F061"/>
      </w:r>
      <w:r w:rsidR="00FD678C" w:rsidRPr="003131ED">
        <w:rPr>
          <w:rFonts w:eastAsia="Arial"/>
          <w:sz w:val="22"/>
          <w:szCs w:val="22"/>
        </w:rPr>
        <w:t xml:space="preserve">-synuclein staining was seen in </w:t>
      </w:r>
      <w:r w:rsidR="004E1DC4" w:rsidRPr="003131ED">
        <w:rPr>
          <w:rFonts w:eastAsia="Arial"/>
          <w:sz w:val="22"/>
          <w:szCs w:val="22"/>
        </w:rPr>
        <w:t xml:space="preserve">the cortex of </w:t>
      </w:r>
      <w:r w:rsidR="00FD678C" w:rsidRPr="003131ED">
        <w:rPr>
          <w:rFonts w:eastAsia="Arial"/>
          <w:sz w:val="22"/>
          <w:szCs w:val="22"/>
        </w:rPr>
        <w:t xml:space="preserve">WT </w:t>
      </w:r>
      <w:r w:rsidR="00FD678C" w:rsidRPr="003131ED">
        <w:rPr>
          <w:rFonts w:eastAsia="Arial"/>
          <w:i/>
          <w:sz w:val="22"/>
          <w:szCs w:val="22"/>
        </w:rPr>
        <w:t>Hfe</w:t>
      </w:r>
      <w:r w:rsidR="00FD678C" w:rsidRPr="003131ED">
        <w:rPr>
          <w:rFonts w:eastAsia="Arial"/>
          <w:sz w:val="22"/>
          <w:szCs w:val="22"/>
        </w:rPr>
        <w:t xml:space="preserve"> mice ipsilateral to the PFF injection compared to H67D </w:t>
      </w:r>
      <w:r w:rsidR="00FD678C" w:rsidRPr="003131ED">
        <w:rPr>
          <w:rFonts w:eastAsia="Arial"/>
          <w:i/>
          <w:sz w:val="22"/>
          <w:szCs w:val="22"/>
        </w:rPr>
        <w:t>Hfe</w:t>
      </w:r>
      <w:r w:rsidR="00FD678C" w:rsidRPr="003131ED">
        <w:rPr>
          <w:rFonts w:eastAsia="Arial"/>
          <w:sz w:val="22"/>
          <w:szCs w:val="22"/>
        </w:rPr>
        <w:t xml:space="preserve"> mice (</w:t>
      </w:r>
      <w:r w:rsidR="00FD678C" w:rsidRPr="003131ED">
        <w:rPr>
          <w:rFonts w:eastAsia="Arial"/>
          <w:b/>
          <w:sz w:val="22"/>
          <w:szCs w:val="22"/>
        </w:rPr>
        <w:t>Fig. 8C</w:t>
      </w:r>
      <w:r w:rsidR="00FD678C" w:rsidRPr="003131ED">
        <w:rPr>
          <w:rFonts w:eastAsia="Arial"/>
          <w:sz w:val="22"/>
          <w:szCs w:val="22"/>
        </w:rPr>
        <w:t xml:space="preserve">). Fluorescent secondary antibody was used to quantify the pS129 </w:t>
      </w:r>
      <w:r w:rsidR="00FD678C" w:rsidRPr="003131ED">
        <w:rPr>
          <w:rFonts w:eastAsia="Arial"/>
          <w:sz w:val="22"/>
          <w:szCs w:val="22"/>
        </w:rPr>
        <w:sym w:font="Symbol" w:char="F061"/>
      </w:r>
      <w:r w:rsidR="00FD678C" w:rsidRPr="003131ED">
        <w:rPr>
          <w:rFonts w:eastAsia="Arial"/>
          <w:sz w:val="22"/>
          <w:szCs w:val="22"/>
        </w:rPr>
        <w:t>-synuclein staining intensity.</w:t>
      </w:r>
      <w:r w:rsidR="004E1DC4" w:rsidRPr="003131ED">
        <w:rPr>
          <w:rFonts w:eastAsia="Arial"/>
          <w:sz w:val="22"/>
          <w:szCs w:val="22"/>
        </w:rPr>
        <w:t xml:space="preserve"> WT </w:t>
      </w:r>
      <w:r w:rsidR="004E1DC4" w:rsidRPr="003131ED">
        <w:rPr>
          <w:rFonts w:eastAsia="Arial"/>
          <w:i/>
          <w:sz w:val="22"/>
          <w:szCs w:val="22"/>
        </w:rPr>
        <w:t>Hfe</w:t>
      </w:r>
      <w:r w:rsidR="004E1DC4" w:rsidRPr="003131ED">
        <w:rPr>
          <w:rFonts w:eastAsia="Arial"/>
          <w:sz w:val="22"/>
          <w:szCs w:val="22"/>
        </w:rPr>
        <w:t xml:space="preserve"> mice</w:t>
      </w:r>
      <w:r w:rsidR="00CB72FB" w:rsidRPr="003131ED">
        <w:rPr>
          <w:rFonts w:eastAsia="Arial"/>
          <w:sz w:val="22"/>
          <w:szCs w:val="22"/>
        </w:rPr>
        <w:t xml:space="preserve"> had significantly higher pS129 </w:t>
      </w:r>
      <w:r w:rsidR="00CB72FB" w:rsidRPr="003131ED">
        <w:rPr>
          <w:rFonts w:eastAsia="Arial"/>
          <w:sz w:val="22"/>
          <w:szCs w:val="22"/>
        </w:rPr>
        <w:sym w:font="Symbol" w:char="F061"/>
      </w:r>
      <w:r w:rsidR="00CB72FB" w:rsidRPr="003131ED">
        <w:rPr>
          <w:rFonts w:eastAsia="Arial"/>
          <w:sz w:val="22"/>
          <w:szCs w:val="22"/>
        </w:rPr>
        <w:t xml:space="preserve">-synuclein </w:t>
      </w:r>
      <w:r w:rsidR="002F3A57" w:rsidRPr="003131ED">
        <w:rPr>
          <w:rFonts w:eastAsia="Arial"/>
          <w:sz w:val="22"/>
          <w:szCs w:val="22"/>
        </w:rPr>
        <w:t>staining</w:t>
      </w:r>
      <w:r w:rsidR="00CB72FB" w:rsidRPr="003131ED">
        <w:rPr>
          <w:rFonts w:eastAsia="Arial"/>
          <w:sz w:val="22"/>
          <w:szCs w:val="22"/>
        </w:rPr>
        <w:t xml:space="preserve"> compared to H67D </w:t>
      </w:r>
      <w:r w:rsidR="00CB72FB" w:rsidRPr="003131ED">
        <w:rPr>
          <w:rFonts w:eastAsia="Arial"/>
          <w:i/>
          <w:sz w:val="22"/>
          <w:szCs w:val="22"/>
        </w:rPr>
        <w:t>Hfe</w:t>
      </w:r>
      <w:r w:rsidR="00CB72FB" w:rsidRPr="003131ED">
        <w:rPr>
          <w:rFonts w:eastAsia="Arial"/>
          <w:sz w:val="22"/>
          <w:szCs w:val="22"/>
        </w:rPr>
        <w:t xml:space="preserve"> mice</w:t>
      </w:r>
      <w:r w:rsidR="002F3A57" w:rsidRPr="003131ED">
        <w:rPr>
          <w:rFonts w:eastAsia="Arial"/>
          <w:sz w:val="22"/>
          <w:szCs w:val="22"/>
        </w:rPr>
        <w:t xml:space="preserve"> (</w:t>
      </w:r>
      <w:r w:rsidR="002F3A57" w:rsidRPr="003131ED">
        <w:rPr>
          <w:rFonts w:eastAsia="Arial"/>
          <w:b/>
          <w:sz w:val="22"/>
          <w:szCs w:val="22"/>
        </w:rPr>
        <w:t>Fig. 8D</w:t>
      </w:r>
      <w:r w:rsidR="002F3A57" w:rsidRPr="003131ED">
        <w:rPr>
          <w:rFonts w:eastAsia="Arial"/>
          <w:sz w:val="22"/>
          <w:szCs w:val="22"/>
        </w:rPr>
        <w:t>).</w:t>
      </w:r>
    </w:p>
    <w:p w14:paraId="28F6C22F" w14:textId="77777777" w:rsidR="00FD4677" w:rsidRPr="003131ED" w:rsidRDefault="00FD4677" w:rsidP="00D0468C">
      <w:pPr>
        <w:spacing w:line="360" w:lineRule="auto"/>
        <w:jc w:val="both"/>
        <w:rPr>
          <w:rFonts w:eastAsia="Arial"/>
          <w:sz w:val="22"/>
          <w:szCs w:val="22"/>
        </w:rPr>
      </w:pPr>
    </w:p>
    <w:p w14:paraId="2D3E2B85" w14:textId="4C8F1CEB" w:rsidR="007B1E32" w:rsidRPr="003131ED" w:rsidRDefault="007B1E32" w:rsidP="00D0468C">
      <w:pPr>
        <w:spacing w:line="360" w:lineRule="auto"/>
        <w:jc w:val="both"/>
        <w:rPr>
          <w:rFonts w:eastAsia="Arial"/>
          <w:b/>
        </w:rPr>
      </w:pPr>
      <w:r w:rsidRPr="003131ED">
        <w:rPr>
          <w:rFonts w:eastAsia="Arial"/>
          <w:b/>
        </w:rPr>
        <w:t>Discussion</w:t>
      </w:r>
    </w:p>
    <w:p w14:paraId="093D2B26" w14:textId="31AE314F" w:rsidR="001356E9" w:rsidRPr="003131ED" w:rsidRDefault="00EA0C48" w:rsidP="00D0468C">
      <w:pPr>
        <w:spacing w:line="360" w:lineRule="auto"/>
        <w:jc w:val="both"/>
        <w:rPr>
          <w:rFonts w:eastAsia="Arial"/>
          <w:sz w:val="22"/>
          <w:szCs w:val="22"/>
        </w:rPr>
      </w:pPr>
      <w:r w:rsidRPr="003131ED">
        <w:rPr>
          <w:rFonts w:eastAsia="Arial"/>
          <w:sz w:val="22"/>
          <w:szCs w:val="22"/>
        </w:rPr>
        <w:t xml:space="preserve">Although the H63D </w:t>
      </w:r>
      <w:r w:rsidRPr="003131ED">
        <w:rPr>
          <w:rFonts w:eastAsia="Arial"/>
          <w:i/>
          <w:sz w:val="22"/>
          <w:szCs w:val="22"/>
        </w:rPr>
        <w:t>HFE</w:t>
      </w:r>
      <w:r w:rsidRPr="003131ED">
        <w:rPr>
          <w:rFonts w:eastAsia="Arial"/>
          <w:sz w:val="22"/>
          <w:szCs w:val="22"/>
        </w:rPr>
        <w:t xml:space="preserve"> polymorphism is expected </w:t>
      </w:r>
      <w:r w:rsidR="0057314F" w:rsidRPr="003131ED">
        <w:rPr>
          <w:rFonts w:eastAsia="Arial"/>
          <w:sz w:val="22"/>
          <w:szCs w:val="22"/>
        </w:rPr>
        <w:t xml:space="preserve">to </w:t>
      </w:r>
      <w:r w:rsidRPr="003131ED">
        <w:rPr>
          <w:rFonts w:eastAsia="Arial"/>
          <w:sz w:val="22"/>
          <w:szCs w:val="22"/>
        </w:rPr>
        <w:t xml:space="preserve">result in </w:t>
      </w:r>
      <w:r w:rsidR="0057314F" w:rsidRPr="003131ED">
        <w:rPr>
          <w:rFonts w:eastAsia="Arial"/>
          <w:sz w:val="22"/>
          <w:szCs w:val="22"/>
        </w:rPr>
        <w:t xml:space="preserve">an </w:t>
      </w:r>
      <w:r w:rsidRPr="003131ED">
        <w:rPr>
          <w:rFonts w:eastAsia="Arial"/>
          <w:sz w:val="22"/>
          <w:szCs w:val="22"/>
        </w:rPr>
        <w:t xml:space="preserve">increased amount of intracellular iron that could theoretically exacerbate Parkinson’s-related pathology such as oxidative stress or </w:t>
      </w:r>
      <w:r w:rsidRPr="003131ED">
        <w:rPr>
          <w:rFonts w:eastAsia="Arial"/>
          <w:sz w:val="22"/>
          <w:szCs w:val="22"/>
        </w:rPr>
        <w:sym w:font="Symbol" w:char="F061"/>
      </w:r>
      <w:r w:rsidRPr="003131ED">
        <w:rPr>
          <w:rFonts w:eastAsia="Arial"/>
          <w:sz w:val="22"/>
          <w:szCs w:val="22"/>
        </w:rPr>
        <w:t xml:space="preserve">-synuclein aggregation, no association between this allele frequency and Parkinson’s disease risk has been </w:t>
      </w:r>
      <w:r w:rsidR="00DD040C" w:rsidRPr="003131ED">
        <w:rPr>
          <w:rFonts w:eastAsia="Arial"/>
          <w:sz w:val="22"/>
          <w:szCs w:val="22"/>
        </w:rPr>
        <w:t>i</w:t>
      </w:r>
      <w:r w:rsidRPr="003131ED">
        <w:rPr>
          <w:rFonts w:eastAsia="Arial"/>
          <w:sz w:val="22"/>
          <w:szCs w:val="22"/>
        </w:rPr>
        <w:t xml:space="preserve">dentified </w:t>
      </w:r>
      <w:r w:rsidRPr="003131ED">
        <w:rPr>
          <w:rFonts w:eastAsia="Arial"/>
          <w:sz w:val="22"/>
          <w:szCs w:val="22"/>
        </w:rPr>
        <w:fldChar w:fldCharType="begin" w:fldLock="1"/>
      </w:r>
      <w:r w:rsidR="005279DD" w:rsidRPr="003131ED">
        <w:rPr>
          <w:rFonts w:eastAsia="Arial"/>
          <w:sz w:val="22"/>
          <w:szCs w:val="22"/>
        </w:rPr>
        <w:instrText>ADDIN CSL_CITATION {"citationItems":[{"id":"ITEM-1","itemData":{"DOI":"10.1007/s00415-002-0704-6","ISBN":"0340-5354 (Print)\\r0340-5354 (Linking)","ISSN":"03405354","PMID":"12140659","abstract":"We have conducted a case-control study in order to test for an association between 8 intragenic polymorphisms of 5 iron-related genes (transferrin, transferrin receptor1, HFE, frataxin and lactoferrin) and Parkinson disease. Comparison of genotypes and allele frequencies did not differ significantly between cases and controls for all studied polymorphisms except the G258S transferrin polymorphism, for which a higher frequency of the G allele was found among cases (p=0.033), particularly among cases with onset older than 60 (p=0.0017) and with negative family history (p=0.022). This finding suggests that genetic variations in the control of iron metabolism may contribute to the pathogenesis of the disease.","author":[{"dropping-particle":"","family":"Borie","given":"Claire","non-dropping-particle":"","parse-names":false,"suffix":""},{"dropping-particle":"","family":"Gasparini","given":"Francesca","non-dropping-particle":"","parse-names":false,"suffix":""},{"dropping-particle":"","family":"Verpillat","given":"Patrice","non-dropping-particle":"","parse-names":false,"suffix":""},{"dropping-particle":"","family":"Bonnet","given":"Anne Marie","non-dropping-particle":"","parse-names":false,"suffix":""},{"dropping-particle":"","family":"Agid","given":"Yves","non-dropping-particle":"","parse-names":false,"suffix":""},{"dropping-particle":"","family":"Hetet","given":"Gilles","non-dropping-particle":"","parse-names":false,"suffix":""},{"dropping-particle":"","family":"Brice","given":"Alexis","non-dropping-particle":"","parse-names":false,"suffix":""},{"dropping-particle":"","family":"Dürr","given":"Alexandra","non-dropping-particle":"","parse-names":false,"suffix":""},{"dropping-particle":"","family":"Grandchamp","given":"Bernard","non-dropping-particle":"","parse-names":false,"suffix":""}],"container-title":"Journal of Neurology","id":"ITEM-1","issue":"7","issued":{"date-parts":[["2002"]]},"page":"801-804","title":"Association study between iron-related genes polymorphisms and Parkinson's disease","type":"article-journal","volume":"249"},"uris":["http://www.mendeley.com/documents/?uuid=a86033f9-f1d0-4e9f-9294-0fd93f8566e4"]},{"id":"ITEM-2","itemData":{"DOI":"10.1016/S0304-3940(03)00713-4","ISBN":"0304-3940 (Print)\\r0304-3940 (Linking)","ISSN":"03043940","PMID":"12902032","abstract":"Iron overload increases oxidative stress and may lead to neurodegenerative disease like Parkinson's disease (PD). We studied the role of mutations in the hemochromatosis gene HFE in PD and other parkinsonism (non-PD PS) in two population-based series. The first series consisted of 137 patients with PD and 47 with non-PD PS, and the second of 60 patients with PD and 25 with non-PD PS. In the first series, PD patients were significantly more often homozygous for the C282Y mutation than controls (P=0.03). Patients with non-PD PS in both series were more often carriers for the C282Y mutation than controls (P=0.009, P=0.006, respectively). Our data are hampered by small numbers, yet suggest that the C282Y mutation increases the risk of PD and non-PD PS. The rarity of this genotype requires a large series of patients to prove our hypothesis. © 2003 Elsevier Science Ireland Ltd. All rights reserved.","author":[{"dropping-particle":"","family":"Dekker","given":"Marieke C J","non-dropping-particle":"","parse-names":false,"suffix":""},{"dropping-particle":"","family":"Giesbergen","given":"Patricia C.","non-dropping-particle":"","parse-names":false,"suffix":""},{"dropping-particle":"","family":"Njajou","given":"Omer T.","non-dropping-particle":"","parse-names":false,"suffix":""},{"dropping-particle":"","family":"Swieten","given":"John C.","non-dropping-particle":"van","parse-names":false,"suffix":""},{"dropping-particle":"","family":"Hofman","given":"Albert","non-dropping-particle":"","parse-names":false,"suffix":""},{"dropping-particle":"","family":"Breteler","given":"Monique M B","non-dropping-particle":"","parse-names":false,"suffix":""},{"dropping-particle":"","family":"Duijn","given":"Cornelia M.","non-dropping-particle":"Van","parse-names":false,"suffix":""}],"container-title":"Neuroscience Letters","id":"ITEM-2","issue":"2","issued":{"date-parts":[["2003","9","11"]]},"page":"117-119","title":"Mutations in the hemochromatosis gene (HFE), Parkinson's disease and parkinsonism","type":"article-journal","volume":"348"},"uris":["http://www.mendeley.com/documents/?uuid=2863c03a-3032-44be-8414-7e895b6c8a88"]},{"id":"ITEM-3","itemData":{"DOI":"10.1016/j.neulet.2006.07.070","ISSN":"03043940","PMID":"16935420","abstract":"Iron mediated oxidative stress is known to contribute to the neurodegenerative process in Parkinson's disease (PD). Although there are hints that genes involved in brain iron metabolism might be involved in the pathogenesis of PD in some instances, it is still not known whether the increase in brain iron content constitutes a primary or secondary event in the disease cascade. Recent studies on the role of hemochromatosis gene (HFE) mutations in PD vary from a protective effect of C282Y heterozygosity, no effect of the C282Y or H63D mutation to an increased risk for PD in C282Y mutation carriers. In this study, analyzing the whole coding region of the HFE gene by dHPLC in 278 PD patients, priorly characterized by transcranial sonography for increased iron content of the substantia nigra (SN), we did not find an association of the common HFE mutations and PD. However, we identified two novel variants (K92N and I217T) each in a single PD patient. These variations were not found in any of the controls. Future studies are necessary to reveal a possible functional relevance of these mutations for PD. Our results indicate that mutations in the HFE gene are not a common cause for PD with increased iron levels of the SN.","author":[{"dropping-particle":"","family":"Akbas","given":"Nilgün","non-dropping-particle":"","parse-names":false,"suffix":""},{"dropping-particle":"","family":"Hochstrasser","given":"Helmine","non-dropping-particle":"","parse-names":false,"suffix":""},{"dropping-particle":"","family":"Deplazes","given":"Joelle","non-dropping-particle":"","parse-names":false,"suffix":""},{"dropping-particle":"","family":"Tomiuk","given":"Jürgen","non-dropping-particle":"","parse-names":false,"suffix":""},{"dropping-particle":"","family":"Bauer","given":"Peter","non-dropping-particle":"","parse-names":false,"suffix":""},{"dropping-particle":"","family":"Walter","given":"Uwe","non-dropping-particle":"","parse-names":false,"suffix":""},{"dropping-particle":"","family":"Behnke","given":"Stefanie","non-dropping-particle":"","parse-names":false,"suffix":""},{"dropping-particle":"","family":"Riess","given":"Olaf","non-dropping-particle":"","parse-names":false,"suffix":""},{"dropping-particle":"","family":"Berg","given":"Daniela","non-dropping-particle":"","parse-names":false,"suffix":""}],"container-title":"Neuroscience Letters","id":"ITEM-3","issue":"1","issued":{"date-parts":[["2006","10","16"]]},"page":"16-19","title":"Screening for mutations of the HFE gene in Parkinson's disease patients with hyperechogenicity of the substantia nigra","type":"article-journal","volume":"407"},"uris":["http://www.mendeley.com/documents/?uuid=6305504a-2126-31ba-8354-4393798be929"]},{"id":"ITEM-4","itemData":{"DOI":"10.1136/jnnp.2006.101352","ISSN":"1468-330X","PMID":"17056630","abstract":"The aim of this study was to investigate a possible association between haemochromatosis (HFE) gene mutations and the prevalence of Parkinson's disease. The HFE gene encodes a protein that modulates iron absorption. Several studies have documented increased iron levels in the basal ganglia in patients with Parkinson's disease. In a study on patients with concurrent hereditary haemochromatosis and Parkinson's disease, abnormal deposition of iron in the basal ganglia was suggested as an inductor of Parkinson's disease. In this study, genotype frequencies of the HFE mutations C282Y, H63D and S65C were estimated in 388 patients with Parkinson's disease and compared with frequencies found in comparable studies. No significant differences were found in frequencies between the patients and comparable populations. This study does not indicate increased susceptibility to Parkinson's disease in HFE gene mutation carriers in Norway.","author":[{"dropping-particle":"","family":"Aamodt","given":"Anne Hege","non-dropping-particle":"","parse-names":false,"suffix":""},{"dropping-particle":"","family":"Stovner","given":"Lars Jacob","non-dropping-particle":"","parse-names":false,"suffix":""},{"dropping-particle":"","family":"Thorstensen","given":"Ketil","non-dropping-particle":"","parse-names":false,"suffix":""},{"dropping-particle":"","family":"Lydersen","given":"Stian","non-dropping-particle":"","parse-names":false,"suffix":""},{"dropping-particle":"","family":"White","given":"Linda R","non-dropping-particle":"","parse-names":false,"suffix":""},{"dropping-particle":"","family":"Aasly","given":"Jan O","non-dropping-particle":"","parse-names":false,"suffix":""}],"container-title":"Journal of neurology, neurosurgery, and psychiatry","id":"ITEM-4","issue":"3","issued":{"date-parts":[["2007","3","20"]]},"page":"315-7","title":"Prevalence of haemochromatosis gene mutations in Parkinson's disease.","type":"article-journal","volume":"78"},"uris":["http://www.mendeley.com/documents/?uuid=71a5f019-d868-33bc-b7d5-ee087805274d"]},{"id":"ITEM-5","itemData":{"DOI":"10.1016/j.nbd.2013.09.019","ISBN":"0969-9961","ISSN":"1095953X","PMID":"24121126","abstract":"Pathologic features of Parkinson's disease (PD) include death of dopaminergic neurons in the substantia nigra, presence of α-synuclein containing Lewy bodies, and iron accumulation in PD-related brain regions. The observed iron accumulation may be contributing to PD etiology but it also may be a byproduct of cell death or cellular dysfunction. To elucidate the possible role of iron accumulation in PD, we investigated genetic variation in 16 genes related to iron homeostasis in three case-control studies from the United States, Australia, and France. After screening 90 haplotype tagging single nucleotide polymorphisms (SNPs) within the genes of interest in the US study population, we investigated the five most promising gene regions in two additional independent case-control studies. For the pooled data set (1289 cases, 1391 controls) we observed a protective association (OR. = 0.83, 95% CI: 0.71-0.96) between PD and a haplotype composed of the A allele at rs1880669 and the T allele at rs1049296 in transferrin (TF; GeneID: 7018). Additionally, we observed a suggestive protective association (OR. = 0.87, 95% CI: 0.74-1.02) between PD and a haplotype composed of the G allele at rs10247962 and the A allele at rs4434553 in transferrin receptor 2 (TFR2; GeneID: 7036). We observed no associations in our pooled sample for haplotypes in SLC40A1, CYB561, or HFE. Taken together with previous findings in model systems, our results suggest that TF or a TF- TFR2 complex may have a role in the etiology of PD, possibly through iron misregulation or mitochondrial dysfunction within dopaminergic neurons. © 2013 Elsevier Inc.","author":[{"dropping-particle":"","family":"Rhodes","given":"Shannon L.","non-dropping-particle":"","parse-names":false,"suffix":""},{"dropping-particle":"","family":"Buchanan","given":"Daniel D.","non-dropping-particle":"","parse-names":false,"suffix":""},{"dropping-particle":"","family":"Ahmed","given":"Ismaïl","non-dropping-particle":"","parse-names":false,"suffix":""},{"dropping-particle":"","family":"Taylor","given":"Kent D.","non-dropping-particle":"","parse-names":false,"suffix":""},{"dropping-particle":"","family":"Loriot","given":"Marie Anne","non-dropping-particle":"","parse-names":false,"suffix":""},{"dropping-particle":"","family":"Sinsheimer","given":"Janet S.","non-dropping-particle":"","parse-names":false,"suffix":""},{"dropping-particle":"","family":"Bronstein","given":"Jeff M.","non-dropping-particle":"","parse-names":false,"suffix":""},{"dropping-particle":"","family":"Elbaz","given":"Alexis","non-dropping-particle":"","parse-names":false,"suffix":""},{"dropping-particle":"","family":"Mellick","given":"George D.","non-dropping-particle":"","parse-names":false,"suffix":""},{"dropping-particle":"","family":"Rotter","given":"Jerome I.","non-dropping-particle":"","parse-names":false,"suffix":""},{"dropping-particle":"","family":"Ritz","given":"Beate","non-dropping-particle":"","parse-names":false,"suffix":""}],"container-title":"Neurobiology of Disease","id":"ITEM-5","issued":{"date-parts":[["2014"]]},"page":"172-178","title":"Pooled analysis of iron-related genes in Parkinson's disease: Association with transferrin","type":"article-journal","volume":"62"},"uris":["http://www.mendeley.com/documents/?uuid=8c0334c8-1dcb-45f9-911a-2f6bd7b12a4d"]},{"id":"ITEM-6","itemData":{"DOI":"10.1016/S0304-3940(02)00398-1","ISSN":"0304-3940","abstract":"Iron homeostasis is altered in Parkinson's disease (PD). The HFE protein is an important regulator of cellular iron homeostasis and variations within this gene can result in iron overload and the disorder known as hereditary haemochromatosis. We studied the Cys282Tyr single nucleotide polymorphism as a genetic risk factor for PD in two distinct and separately collected cohorts of Australian PD patients and controls. In the combined cohort comprising 438 PD patients and 485 control subjects, we revealed an odds ratio for possession of the 282Tyr allele of 0.61 (95% confidence interval, CI=0.42–0.90, P=0.011) from univariate chi-squared and 0.59 (95% CI=0.39–0.90, P=0.014) after logistic regression analyses (correcting for potential confounding factors). These results suggest that possession of the 282Tyr allele may offer some protection against the development of PD.","author":[{"dropping-particle":"","family":"Buchanan","given":"D.D","non-dropping-particle":"","parse-names":false,"suffix":""},{"dropping-particle":"","family":"Silburn","given":"P.A","non-dropping-particle":"","parse-names":false,"suffix":""},{"dropping-particle":"","family":"Chalk","given":"J.B","non-dropping-particle":"","parse-names":false,"suffix":""},{"dropping-particle":"","family":"Couteur","given":"D.G","non-dropping-particle":"Le","parse-names":false,"suffix":""},{"dropping-particle":"","family":"Mellick","given":"G.D","non-dropping-particle":"","parse-names":false,"suffix":""}],"container-title":"Neuroscience Letters","id":"ITEM-6","issue":"2","issued":{"date-parts":[["2002","7","19"]]},"page":"91-94","publisher":"Elsevier","title":"The Cys282Tyr polymorphism in the HFE gene in Australian Parkinson's disease patients","type":"article-journal","volume":"327"},"uris":["http://www.mendeley.com/documents/?uuid=408edb7a-92dc-3b9b-b9cb-bc790a3d8045"]},{"id":"ITEM-7","itemData":{"DOI":"10.1186/1471-2377-6-24","ISSN":"1471-2377","PMID":"16824219","abstract":"BACKGROUND Pathological brain iron deposition has been implicated as a source of neurotoxic reactive oxygen species in Alzheimer (AD) and Parkinson diseases (PD). Iron metabolism is associated with the gene hemochromatosis (HFE Human genome nomenclature committee ID:4886), and mutations in HFE are a cause of the iron mismetabolism disease, hemochromatosis. Several reports have tested the association of HFE variants with neurodegenerative diseases, such as AD and PD with conflicting results. METHODS Genotypes were analysed for the two most common variants of HFE in a series of 130 AD, 55 Mild Cognitive Impairment (MCI) and 132 PD patients. Additionally, a series of 115 healthy age-matched controls was also screened. RESULTS A statistically significant association was found in the PD group when compared to controls, showing that the presence of the C282Y variant allele may confer higher risk for developing the disease. CONCLUSION Taken together these results suggest that the common variants in HFE may be a risk factor for PD, but not for AD in the Portuguese population.","author":[{"dropping-particle":"","family":"Guerreiro","given":"Rita J","non-dropping-particle":"","parse-names":false,"suffix":""},{"dropping-particle":"","family":"Bras","given":"Jose M","non-dropping-particle":"","parse-names":false,"suffix":""},{"dropping-particle":"","family":"Santana","given":"Isabel","non-dropping-particle":"","parse-names":false,"suffix":""},{"dropping-particle":"","family":"Januario","given":"Cristina","non-dropping-particle":"","parse-names":false,"suffix":""},{"dropping-particle":"","family":"Santiago","given":"Beatriz","non-dropping-particle":"","parse-names":false,"suffix":""},{"dropping-particle":"","family":"Morgadinho","given":"Ana S","non-dropping-particle":"","parse-names":false,"suffix":""},{"dropping-particle":"","family":"Ribeiro","given":"Maria H","non-dropping-particle":"","parse-names":false,"suffix":""},{"dropping-particle":"","family":"Hardy","given":"John","non-dropping-particle":"","parse-names":false,"suffix":""},{"dropping-particle":"","family":"Singleton","given":"Andrew","non-dropping-particle":"","parse-names":false,"suffix":""},{"dropping-particle":"","family":"Oliveira","given":"Catarina","non-dropping-particle":"","parse-names":false,"suffix":""}],"container-title":"BMC Neurology","id":"ITEM-7","issue":"1","issued":{"date-parts":[["2006","12","6"]]},"page":"24","title":"Association of HFE common mutations with Parkinson's disease, Alzheimer's disease and mild cognitive impairment in a Portuguese cohort","type":"article-journal","volume":"6"},"uris":["http://www.mendeley.com/documents/?uuid=59baf90b-acc4-3585-82b4-c8c1e3286d81"]},{"id":"ITEM-8","itemData":{"DOI":"10.1097/FPC.0b013e3282f5106e","ISSN":"17446872","abstract":"OBJECTIVE: To investigate whether the genetic variants of CYP2D6 and HFE are more frequent in Parkinson's disease (PD) patients compared with controls in a population where the prevalence of these variants and PD are increased. METHODS: Blood samples were collected from 79 PD patients and 154 controls in the Faroe Islands. Genotyping for the 'CYP2D6*3, *4, *6 and *9' alleles and for the C282Y and H63D mutations were performed by real-time polymerase chain reaction before Taqman assessment. RESULTS: The frequency of CYP2D6 poor metabolizers among the patients was not higher compared with the frequency found in the control group (χ test, P=0.86). The odds ratio was 0.92 (95% confidence interval: 0.44-1.90). Neither was a difference in HFE genotype or allele frequencies found between the patients and the controls, and the C282Y and H63D mutation carrier frequencies did not reveal any difference (χ test, P=0.50 and 0.60, respectively). CONCLUSION: This study does not support an association between PD and mutations of the CYP2D6 and HFE genes, although a weak association cannot be excluded. The high frequency of PD in the Faroes is most likely the result of interactions between multiple genetic and environmental factors, still to be identified. © 2008 Lippincott Williams &amp; Wilkins, Inc.","author":[{"dropping-particle":"","family":"Halling","given":"Jónrit","non-dropping-particle":"","parse-names":false,"suffix":""},{"dropping-particle":"","family":"Petersen","given":"Maria Skaalum","non-dropping-particle":"","parse-names":false,"suffix":""},{"dropping-particle":"","family":"Grandjean","given":"Philippe","non-dropping-particle":"","parse-names":false,"suffix":""},{"dropping-particle":"","family":"Weihe","given":"Pál","non-dropping-particle":"","parse-names":false,"suffix":""},{"dropping-particle":"","family":"Brosen","given":"Kim","non-dropping-particle":"","parse-names":false,"suffix":""}],"container-title":"Pharmacogenetics and Genomics","id":"ITEM-8","issue":"3","issued":{"date-parts":[["2008","3"]]},"page":"209-212","title":"Genetic predisposition to Parkinson's disease: CYP2D6 and HFE in the Faroe Islands","type":"article-journal","volume":"18"},"uris":["http://www.mendeley.com/documents/?uuid=0edfe611-8136-3a41-b46a-7656c5e1a611"]},{"id":"ITEM-9","itemData":{"DOI":"10.1016/j.parkreldis.2007.10.011","ISSN":"13538020","abstract":"An abnormal accumulation and distribution of brain iron are common to different neurodegenerative disorders, including Parkinson's disease (PD), and alteration of genes involved in iron metabolism cause neurodegeneration with brain iron accumulation. HFE participates in the regulation of iron metabolism, its mutations are primary cause of hereditary hemochromatosis and appear to be more frequent in neurodegenerative disorders such as Alzheimer's disease and amyotrophic lateral sclerosis. However, conflicting results were obtained in previous studies aimed to verify if nucleotide variations in HFE gene act as risk modifiers for PD. We used denaturing HPLC for scanning DNA sequence variations in exon 2 and 4 of HFE gene in a cohort of 475 Italian PD patients. We identified the most common H63D, C282Y and S65C, and also other 4 rare mutation types (R66H, R224W, E277K, and T281M). The allele frequency of H63D and C282Y was not statistically different from that of 2 control groups with similar mean age or of a large cohort of the same geographical area. In addition we could not find statistical differences in the clinical phenotypes of patients carrying at least one mutated HFE allele from those with the normal allele. We conclude that in the Italian population, the most common HFE mutations, H63D and C282Y are not associated with the individual risk to develop PD, nor have specific influence on the clinical features of the disease. © 2008 Elsevier Ltd. All rights reserved.","author":[{"dropping-particle":"","family":"Biasiotto","given":"Giorgio","non-dropping-particle":"","parse-names":false,"suffix":""},{"dropping-particle":"","family":"Goldwurm","given":"Stefano","non-dropping-particle":"","parse-names":false,"suffix":""},{"dropping-particle":"","family":"Finazzi","given":"Dario","non-dropping-particle":"","parse-names":false,"suffix":""},{"dropping-particle":"","family":"Tunesi","given":"Sara","non-dropping-particle":"","parse-names":false,"suffix":""},{"dropping-particle":"","family":"Zecchinelli","given":"Anna","non-dropping-particle":"","parse-names":false,"suffix":""},{"dropping-particle":"","family":"Sironi","given":"Francesca","non-dropping-particle":"","parse-names":false,"suffix":""},{"dropping-particle":"","family":"Pezzoli","given":"Gianni","non-dropping-particle":"","parse-names":false,"suffix":""},{"dropping-particle":"","family":"Arosio","given":"Paolo","non-dropping-particle":"","parse-names":false,"suffix":""}],"container-title":"Parkinsonism and Related Disorders","id":"ITEM-9","issue":"5","issued":{"date-parts":[["2008","7"]]},"page":"426-430","title":"HFE gene mutations in a population of Italian Parkinson's disease patients","type":"article-journal","volume":"14"},"uris":["http://www.mendeley.com/documents/?uuid=f82e7e75-ff9b-31d2-8228-eae1e2b4c98b"]},{"id":"ITEM-10","itemData":{"DOI":"10.1007/s10072-011-0504-9","ISSN":"15901874","abstract":"Iron overload may lead to neurodegenerative disorders such as Parkinson's disease (PD) and alterations of iron-related genes might be involved in the pathogenesis of this disease. The gene of haemochromatosis (HFE) encodes the HFE protein which interacts with the transferrin receptor (TFR), lowering its affinity for iron-bound transferrin (TF). We examined four known polymorphisms, C282Y and H63D in the HFE gene, G258S in the TF gene and S82G in the TFR gene, in 181 sporadic PD patients and 180 controls from Southern Italy to investigate their possible role in susceptibility to PD. No significant differences were found in genotype and allele frequencies between PD and controls for all the polymorphisms studied, suggesting that these variants do not contribute significantly to the risk of PD. © Springer-Verlag 2010.","author":[{"dropping-particle":"","family":"Greco","given":"Valentina","non-dropping-particle":"","parse-names":false,"suffix":""},{"dropping-particle":"","family":"Marco","given":"Elvira Valeria","non-dropping-particle":"De","parse-names":false,"suffix":""},{"dropping-particle":"","family":"Rocca","given":"Francesca Emanuela","non-dropping-particle":"","parse-names":false,"suffix":""},{"dropping-particle":"","family":"Annesi","given":"Ferdinanda","non-dropping-particle":"","parse-names":false,"suffix":""},{"dropping-particle":"","family":"Civitelli","given":"Donatella","non-dropping-particle":"","parse-names":false,"suffix":""},{"dropping-particle":"","family":"Provenzano","given":"Giovanni","non-dropping-particle":"","parse-names":false,"suffix":""},{"dropping-particle":"","family":"Tarantino","given":"Patrizia","non-dropping-particle":"","parse-names":false,"suffix":""},{"dropping-particle":"","family":"Scornaienchi","given":"Vittorio","non-dropping-particle":"","parse-names":false,"suffix":""},{"dropping-particle":"","family":"Pucci","given":"Franco","non-dropping-particle":"","parse-names":false,"suffix":""},{"dropping-particle":"","family":"Salsone","given":"Maria","non-dropping-particle":"","parse-names":false,"suffix":""},{"dropping-particle":"","family":"Novellino","given":"Fabiana","non-dropping-particle":"","parse-names":false,"suffix":""},{"dropping-particle":"","family":"Morelli","given":"Maurizio","non-dropping-particle":"","parse-names":false,"suffix":""},{"dropping-particle":"","family":"Paglionico","given":"Sandra","non-dropping-particle":"","parse-names":false,"suffix":""},{"dropping-particle":"","family":"Gambardella","given":"Antonio","non-dropping-particle":"","parse-names":false,"suffix":""},{"dropping-particle":"","family":"Quattrone","given":"Aldo","non-dropping-particle":"","parse-names":false,"suffix":""},{"dropping-particle":"","family":"Annesi","given":"Grazia","non-dropping-particle":"","parse-names":false,"suffix":""}],"container-title":"Neurological Sciences","id":"ITEM-10","issue":"3","issued":{"date-parts":[["2011","6"]]},"page":"525-527","title":"Association study between four polymorphisms in the HFE, TF and TFR genes and Parkinson's disease in Southern Italy","type":"article-journal","volume":"32"},"uris":["http://www.mendeley.com/documents/?uuid=ae20bba4-9319-32f2-8db3-3db32b528778"]},{"id":"ITEM-11","itemData":{"DOI":"10.3389/fnagi.2013.00037","ISSN":"16634365","abstract":"Deregulation of iron metabolism has been observed in patients with neurodegenerative diseases. We have carried out a molecular analysis investigating the interaction between iron specific gene variants [transferrin (TF, P589S), hemochromatosis (HFE) C282Y and (H63D)], iron biochemical variables [iron, Tf, ceruloplasmin (Cp), Cp:Tf ratio and % of Tf saturation (% Tf-sat)] and apolipoprotein E (APOE) gene variants in 139 Alzheimer's disease (AD), 27 Mild Cognitive Impairment (MCI), 78 Parkinson's disease (PD) patients and 139 healthy controls to investigate mechanisms of iron regulation or toxicity. No difference in genetic variant distributions between patients and controls was found in our Italian sample, but the stratification for the APOEe4 allele revealed that among the APOEe4 carriers was higher the frequency of those carriers of at least a mutated TF P589S allele. Decreased Tf in both AD and MCI and increased Cp:Tf ratio in AD vs. controls were detected. A multinomial logistic regression model revealed that increased iron and Cp:Tf ratio and being man instead of woman increased the risk of having PD, that increased values of Cp:Tf ratio corresponded to a 4-fold increase of the relative risk of having MCI, while higher Cp levels were protective for PD and MCI. Our study has some limitations: the small size of the samples, one ethnic group considered, the rarity of some alleles which prevent the statistical power of some genetic analysis. Even though they need confirmation in larger cohorts, our data suggest the hypothesis that deregulation of iron metabolism, in addition to other factors, has some effect on the PD disease risk. © 2013 Mariani, Ventriglia, Simonelli, Spalletta, Bucossi, Siotto, Assogna, Melgari, Vernieri and Squitti.","author":[{"dropping-particle":"","family":"Mariani","given":"S.","non-dropping-particle":"","parse-names":false,"suffix":""},{"dropping-particle":"","family":"Ventriglia","given":"M.","non-dropping-particle":"","parse-names":false,"suffix":""},{"dropping-particle":"","family":"Simonelli","given":"I.","non-dropping-particle":"","parse-names":false,"suffix":""},{"dropping-particle":"","family":"Spalletta","given":"G.","non-dropping-particle":"","parse-names":false,"suffix":""},{"dropping-particle":"","family":"Bucossi","given":"S.","non-dropping-particle":"","parse-names":false,"suffix":""},{"dropping-particle":"","family":"Siotto","given":"M.","non-dropping-particle":"","parse-names":false,"suffix":""},{"dropping-particle":"","family":"Assogna","given":"F.","non-dropping-particle":"","parse-names":false,"suffix":""},{"dropping-particle":"","family":"Melgari","given":"J. M.","non-dropping-particle":"","parse-names":false,"suffix":""},{"dropping-particle":"","family":"Vernieri","given":"F.","non-dropping-particle":"","parse-names":false,"suffix":""},{"dropping-particle":"","family":"Squitti","given":"R.","non-dropping-particle":"","parse-names":false,"suffix":""}],"container-title":"Frontiers in Aging Neuroscience","id":"ITEM-11","issue":"AUG","issued":{"date-parts":[["2013"]]},"title":"Effects of hemochromatosis and transferrin gene mutations on peripheral iron dyshomeostasis in mild cognitive impairment and Alzheimer's and Parkinson's diseases","type":"article-journal","volume":"5"},"uris":["http://www.mendeley.com/documents/?uuid=cfe9926a-d42f-3e71-a998-68693651dbb5"]},{"id":"ITEM-12","itemData":{"DOI":"10.3109/00207454.2015.1020113","ISSN":"15635279","abstract":"Objective: Iron homeostasis appears altered in Parkinson's disease (PD). Recent genetic studies and meta-analyses have produced heterogeneous and inconclusive results. In order to verify the possible role of iron status in PD, we have screened some of the main metal gene variants, evaluated their effects on iron systemic status, and checked for possible interactions with PD. Materials and methods: In 92 PD patients and 112 healthy controls, we screened the D544E and R793H variants of the ceruloplasmin gene (CP), the P589S variant of the transferrin gene (TF), and the H63D and C282Y variants of the HFE gene, encoding for homologous proteins, respectively. Furthermore, we analyzed serum concentrations of iron, copper and their related proteins. Results: The genetic investigation revealed no significant differences in allelic and genotype distributions between patients and controls. Two different multivariable forward stepwise logistic models showed that, when the effect of sex is considered, an increase of the probability of having PD is associated with low iron concentration and Tf-saturation. Conclusions: This study provides new evidence of the involvement of iron metabolism in PD pathogenesis and reveals a biological effect of sex.","author":[{"dropping-particle":"","family":"Mariani","given":"S.","non-dropping-particle":"","parse-names":false,"suffix":""},{"dropping-particle":"","family":"Ventriglia","given":"M.","non-dropping-particle":"","parse-names":false,"suffix":""},{"dropping-particle":"","family":"Simonelli","given":"I.","non-dropping-particle":"","parse-names":false,"suffix":""},{"dropping-particle":"","family":"Bucossi","given":"S.","non-dropping-particle":"","parse-names":false,"suffix":""},{"dropping-particle":"","family":"Siotto","given":"M.","non-dropping-particle":"","parse-names":false,"suffix":""},{"dropping-particle":"","family":"Donno","given":"S.","non-dropping-particle":"","parse-names":false,"suffix":""},{"dropping-particle":"","family":"Vernieri","given":"F.","non-dropping-particle":"","parse-names":false,"suffix":""},{"dropping-particle":"","family":"Squitti","given":"R.","non-dropping-particle":"","parse-names":false,"suffix":""}],"container-title":"International Journal of Neuroscience","id":"ITEM-12","issue":"4","issued":{"date-parts":[["2016","4","2"]]},"page":"354-360","publisher":"Taylor and Francis Ltd","title":"Association between sex, systemic iron variation and probability of Parkinson's disease","type":"article-journal","volume":"126"},"uris":["http://www.mendeley.com/documents/?uuid=1a3c69e2-f98f-3d37-b4d0-8d025174e812"]}],"mendeley":{"formattedCitation":"(Borie &lt;i&gt;et al.&lt;/i&gt; 2002; Dekker &lt;i&gt;et al.&lt;/i&gt; 2003; Akbas &lt;i&gt;et al.&lt;/i&gt; 2006; Aamodt &lt;i&gt;et al.&lt;/i&gt; 2007; Rhodes &lt;i&gt;et al.&lt;/i&gt; 2014; Buchanan &lt;i&gt;et al.&lt;/i&gt; 2002; Guerreiro &lt;i&gt;et al.&lt;/i&gt; 2006; Halling &lt;i&gt;et al.&lt;/i&gt; 2008; Biasiotto &lt;i&gt;et al.&lt;/i&gt; 2008; Greco &lt;i&gt;et al.&lt;/i&gt; 2011; Mariani &lt;i&gt;et al.&lt;/i&gt; 2013; Mariani &lt;i&gt;et al.&lt;/i&gt; 2016)","plainTextFormattedCitation":"(Borie et al. 2002; Dekker et al. 2003; Akbas et al. 2006; Aamodt et al. 2007; Rhodes et al. 2014; Buchanan et al. 2002; Guerreiro et al. 2006; Halling et al. 2008; Biasiotto et al. 2008; Greco et al. 2011; Mariani et al. 2013; Mariani et al. 2016)","previouslyFormattedCitation":"(Borie &lt;i&gt;et al.&lt;/i&gt; 2002; Dekker &lt;i&gt;et al.&lt;/i&gt; 2003; Akbas &lt;i&gt;et al.&lt;/i&gt; 2006; Aamodt &lt;i&gt;et al.&lt;/i&gt; 2007; Rhodes &lt;i&gt;et al.&lt;/i&gt; 2014; Buchanan &lt;i&gt;et al.&lt;/i&gt; 2002; Guerreiro &lt;i&gt;et al.&lt;/i&gt; 2006; Halling &lt;i&gt;et al.&lt;/i&gt; 2008; Biasiotto &lt;i&gt;et al.&lt;/i&gt; 2008; Greco &lt;i&gt;et al.&lt;/i&gt; 2011; Mariani &lt;i&gt;et al.&lt;/i&gt; 2013; Mariani &lt;i&gt;et al.&lt;/i&gt; 2016)"},"properties":{"noteIndex":0},"schema":"https://github.com/citation-style-language/schema/raw/master/csl-citation.json"}</w:instrText>
      </w:r>
      <w:r w:rsidRPr="003131ED">
        <w:rPr>
          <w:rFonts w:eastAsia="Arial"/>
          <w:sz w:val="22"/>
          <w:szCs w:val="22"/>
        </w:rPr>
        <w:fldChar w:fldCharType="separate"/>
      </w:r>
      <w:r w:rsidR="00DD040C" w:rsidRPr="003131ED">
        <w:rPr>
          <w:rFonts w:eastAsia="Arial"/>
          <w:noProof/>
          <w:sz w:val="22"/>
          <w:szCs w:val="22"/>
        </w:rPr>
        <w:t xml:space="preserve">(Borie </w:t>
      </w:r>
      <w:r w:rsidR="00DD040C" w:rsidRPr="003131ED">
        <w:rPr>
          <w:rFonts w:eastAsia="Arial"/>
          <w:i/>
          <w:noProof/>
          <w:sz w:val="22"/>
          <w:szCs w:val="22"/>
        </w:rPr>
        <w:t>et al.</w:t>
      </w:r>
      <w:r w:rsidR="00DD040C" w:rsidRPr="003131ED">
        <w:rPr>
          <w:rFonts w:eastAsia="Arial"/>
          <w:noProof/>
          <w:sz w:val="22"/>
          <w:szCs w:val="22"/>
        </w:rPr>
        <w:t xml:space="preserve"> 2002; Dekker </w:t>
      </w:r>
      <w:r w:rsidR="00DD040C" w:rsidRPr="003131ED">
        <w:rPr>
          <w:rFonts w:eastAsia="Arial"/>
          <w:i/>
          <w:noProof/>
          <w:sz w:val="22"/>
          <w:szCs w:val="22"/>
        </w:rPr>
        <w:t>et al.</w:t>
      </w:r>
      <w:r w:rsidR="00DD040C" w:rsidRPr="003131ED">
        <w:rPr>
          <w:rFonts w:eastAsia="Arial"/>
          <w:noProof/>
          <w:sz w:val="22"/>
          <w:szCs w:val="22"/>
        </w:rPr>
        <w:t xml:space="preserve"> 2003; Akbas </w:t>
      </w:r>
      <w:r w:rsidR="00DD040C" w:rsidRPr="003131ED">
        <w:rPr>
          <w:rFonts w:eastAsia="Arial"/>
          <w:i/>
          <w:noProof/>
          <w:sz w:val="22"/>
          <w:szCs w:val="22"/>
        </w:rPr>
        <w:t>et al.</w:t>
      </w:r>
      <w:r w:rsidR="00DD040C" w:rsidRPr="003131ED">
        <w:rPr>
          <w:rFonts w:eastAsia="Arial"/>
          <w:noProof/>
          <w:sz w:val="22"/>
          <w:szCs w:val="22"/>
        </w:rPr>
        <w:t xml:space="preserve"> 2006; Aamodt </w:t>
      </w:r>
      <w:r w:rsidR="00DD040C" w:rsidRPr="003131ED">
        <w:rPr>
          <w:rFonts w:eastAsia="Arial"/>
          <w:i/>
          <w:noProof/>
          <w:sz w:val="22"/>
          <w:szCs w:val="22"/>
        </w:rPr>
        <w:t>et al.</w:t>
      </w:r>
      <w:r w:rsidR="00DD040C" w:rsidRPr="003131ED">
        <w:rPr>
          <w:rFonts w:eastAsia="Arial"/>
          <w:noProof/>
          <w:sz w:val="22"/>
          <w:szCs w:val="22"/>
        </w:rPr>
        <w:t xml:space="preserve"> 2007; Rhodes </w:t>
      </w:r>
      <w:r w:rsidR="00DD040C" w:rsidRPr="003131ED">
        <w:rPr>
          <w:rFonts w:eastAsia="Arial"/>
          <w:i/>
          <w:noProof/>
          <w:sz w:val="22"/>
          <w:szCs w:val="22"/>
        </w:rPr>
        <w:t>et al.</w:t>
      </w:r>
      <w:r w:rsidR="00DD040C" w:rsidRPr="003131ED">
        <w:rPr>
          <w:rFonts w:eastAsia="Arial"/>
          <w:noProof/>
          <w:sz w:val="22"/>
          <w:szCs w:val="22"/>
        </w:rPr>
        <w:t xml:space="preserve"> 2014; Buchanan </w:t>
      </w:r>
      <w:r w:rsidR="00DD040C" w:rsidRPr="003131ED">
        <w:rPr>
          <w:rFonts w:eastAsia="Arial"/>
          <w:i/>
          <w:noProof/>
          <w:sz w:val="22"/>
          <w:szCs w:val="22"/>
        </w:rPr>
        <w:t>et al.</w:t>
      </w:r>
      <w:r w:rsidR="00DD040C" w:rsidRPr="003131ED">
        <w:rPr>
          <w:rFonts w:eastAsia="Arial"/>
          <w:noProof/>
          <w:sz w:val="22"/>
          <w:szCs w:val="22"/>
        </w:rPr>
        <w:t xml:space="preserve"> 2002; Guerreiro </w:t>
      </w:r>
      <w:r w:rsidR="00DD040C" w:rsidRPr="003131ED">
        <w:rPr>
          <w:rFonts w:eastAsia="Arial"/>
          <w:i/>
          <w:noProof/>
          <w:sz w:val="22"/>
          <w:szCs w:val="22"/>
        </w:rPr>
        <w:t>et al.</w:t>
      </w:r>
      <w:r w:rsidR="00DD040C" w:rsidRPr="003131ED">
        <w:rPr>
          <w:rFonts w:eastAsia="Arial"/>
          <w:noProof/>
          <w:sz w:val="22"/>
          <w:szCs w:val="22"/>
        </w:rPr>
        <w:t xml:space="preserve"> 2006; Halling </w:t>
      </w:r>
      <w:r w:rsidR="00DD040C" w:rsidRPr="003131ED">
        <w:rPr>
          <w:rFonts w:eastAsia="Arial"/>
          <w:i/>
          <w:noProof/>
          <w:sz w:val="22"/>
          <w:szCs w:val="22"/>
        </w:rPr>
        <w:t>et al.</w:t>
      </w:r>
      <w:r w:rsidR="00DD040C" w:rsidRPr="003131ED">
        <w:rPr>
          <w:rFonts w:eastAsia="Arial"/>
          <w:noProof/>
          <w:sz w:val="22"/>
          <w:szCs w:val="22"/>
        </w:rPr>
        <w:t xml:space="preserve"> 2008; Biasiotto </w:t>
      </w:r>
      <w:r w:rsidR="00DD040C" w:rsidRPr="003131ED">
        <w:rPr>
          <w:rFonts w:eastAsia="Arial"/>
          <w:i/>
          <w:noProof/>
          <w:sz w:val="22"/>
          <w:szCs w:val="22"/>
        </w:rPr>
        <w:t>et al.</w:t>
      </w:r>
      <w:r w:rsidR="00DD040C" w:rsidRPr="003131ED">
        <w:rPr>
          <w:rFonts w:eastAsia="Arial"/>
          <w:noProof/>
          <w:sz w:val="22"/>
          <w:szCs w:val="22"/>
        </w:rPr>
        <w:t xml:space="preserve"> 2008; Greco </w:t>
      </w:r>
      <w:r w:rsidR="00DD040C" w:rsidRPr="003131ED">
        <w:rPr>
          <w:rFonts w:eastAsia="Arial"/>
          <w:i/>
          <w:noProof/>
          <w:sz w:val="22"/>
          <w:szCs w:val="22"/>
        </w:rPr>
        <w:t>et al.</w:t>
      </w:r>
      <w:r w:rsidR="00DD040C" w:rsidRPr="003131ED">
        <w:rPr>
          <w:rFonts w:eastAsia="Arial"/>
          <w:noProof/>
          <w:sz w:val="22"/>
          <w:szCs w:val="22"/>
        </w:rPr>
        <w:t xml:space="preserve"> 2011; Mariani </w:t>
      </w:r>
      <w:r w:rsidR="00DD040C" w:rsidRPr="003131ED">
        <w:rPr>
          <w:rFonts w:eastAsia="Arial"/>
          <w:i/>
          <w:noProof/>
          <w:sz w:val="22"/>
          <w:szCs w:val="22"/>
        </w:rPr>
        <w:t>et al.</w:t>
      </w:r>
      <w:r w:rsidR="00DD040C" w:rsidRPr="003131ED">
        <w:rPr>
          <w:rFonts w:eastAsia="Arial"/>
          <w:noProof/>
          <w:sz w:val="22"/>
          <w:szCs w:val="22"/>
        </w:rPr>
        <w:t xml:space="preserve"> 2013; Mariani </w:t>
      </w:r>
      <w:r w:rsidR="00DD040C" w:rsidRPr="003131ED">
        <w:rPr>
          <w:rFonts w:eastAsia="Arial"/>
          <w:i/>
          <w:noProof/>
          <w:sz w:val="22"/>
          <w:szCs w:val="22"/>
        </w:rPr>
        <w:t>et al.</w:t>
      </w:r>
      <w:r w:rsidR="00DD040C" w:rsidRPr="003131ED">
        <w:rPr>
          <w:rFonts w:eastAsia="Arial"/>
          <w:noProof/>
          <w:sz w:val="22"/>
          <w:szCs w:val="22"/>
        </w:rPr>
        <w:t xml:space="preserve"> 2016)</w:t>
      </w:r>
      <w:r w:rsidRPr="003131ED">
        <w:rPr>
          <w:rFonts w:eastAsia="Arial"/>
          <w:sz w:val="22"/>
          <w:szCs w:val="22"/>
        </w:rPr>
        <w:fldChar w:fldCharType="end"/>
      </w:r>
      <w:r w:rsidRPr="003131ED">
        <w:rPr>
          <w:rFonts w:eastAsia="Arial"/>
          <w:sz w:val="22"/>
          <w:szCs w:val="22"/>
        </w:rPr>
        <w:t>.</w:t>
      </w:r>
      <w:r w:rsidR="005279DD" w:rsidRPr="003131ED">
        <w:rPr>
          <w:rFonts w:eastAsia="Arial"/>
          <w:sz w:val="22"/>
          <w:szCs w:val="22"/>
        </w:rPr>
        <w:t xml:space="preserve"> However, many of these studies have small patient cohorts (n &lt; 500); therefore, it is unclear whether the impact of H63D </w:t>
      </w:r>
      <w:r w:rsidR="005279DD" w:rsidRPr="003131ED">
        <w:rPr>
          <w:rFonts w:eastAsia="Arial"/>
          <w:i/>
          <w:sz w:val="22"/>
          <w:szCs w:val="22"/>
        </w:rPr>
        <w:t>HFE</w:t>
      </w:r>
      <w:r w:rsidR="005279DD" w:rsidRPr="003131ED">
        <w:rPr>
          <w:rFonts w:eastAsia="Arial"/>
          <w:sz w:val="22"/>
          <w:szCs w:val="22"/>
        </w:rPr>
        <w:t xml:space="preserve"> on Parkinson’s disease has adequately been assessed. Furthermore, in a mendelian randomization modeling study where the effect of multiple iron related genes on Parkinson’s disease was investigated, increased iron levels as </w:t>
      </w:r>
      <w:r w:rsidR="005279DD" w:rsidRPr="003131ED">
        <w:rPr>
          <w:rFonts w:eastAsia="Arial"/>
          <w:sz w:val="22"/>
          <w:szCs w:val="22"/>
        </w:rPr>
        <w:lastRenderedPageBreak/>
        <w:t xml:space="preserve">determined by genotype of iron related genes was found to decrease the risk for Parkinson’s disease </w:t>
      </w:r>
      <w:r w:rsidR="005279DD" w:rsidRPr="003131ED">
        <w:rPr>
          <w:rFonts w:eastAsia="Arial"/>
          <w:sz w:val="22"/>
          <w:szCs w:val="22"/>
        </w:rPr>
        <w:fldChar w:fldCharType="begin" w:fldLock="1"/>
      </w:r>
      <w:r w:rsidR="00605777" w:rsidRPr="003131ED">
        <w:rPr>
          <w:rFonts w:eastAsia="Arial"/>
          <w:sz w:val="22"/>
          <w:szCs w:val="22"/>
        </w:rPr>
        <w:instrText>ADDIN CSL_CITATION {"citationItems":[{"id":"ITEM-1","itemData":{"DOI":"10.1371/journal.pmed.1001462","ISBN":"1549-1676 (Electronic)\\r1549-1277 (Linking)","ISSN":"15491277","PMID":"23750121","abstract":"BACKGROUND: Although levels of iron are known to be increased in the brains of patients with Parkinson disease (PD), epidemiological evidence on a possible effect of iron blood levels on PD risk is inconclusive, with effects reported in opposite directions. Epidemiological studies suffer from problems of confounding and reverse causation, and mendelian randomization (MR) represents an alternative approach to provide unconfounded estimates of the effects of biomarkers on disease. We performed a MR study where genes known to modify iron levels were used as instruments to estimate the effect of iron on PD risk, based on estimates of the genetic effects on both iron and PD obtained from the largest sample meta-analyzed to date. METHODS AND FINDINGS: We used as instrumental variables three genetic variants influencing iron levels, HFE rs1800562, HFE rs1799945, and TMPRSS6 rs855791. Estimates of their effect on serum iron were based on a recent genome-wide meta-analysis of 21,567 individuals, while estimates of their effect on PD risk were obtained through meta-analysis of genome-wide and candidate gene studies with 20,809 PD cases and 88,892 controls. Separate MR estimates of the effect of iron on PD were obtained for each variant and pooled by meta-analysis. We investigated heterogeneity across the three estimates as an indication of possible pleiotropy and found no evidence of it. The combined MR estimate showed a statistically significant protective effect of iron, with a relative risk reduction for PD of 3% (95% CI 1%-6%; p = 0.001) per 10 microg/dl increase in serum iron. CONCLUSIONS: Our study suggests that increased iron levels are causally associated with a decreased risk of developing PD. Further studies are needed to understand the pathophysiological mechanism of action of serum iron on PD risk before recommendations can be made. Please see later in the article for the Editors' Summary.","author":[{"dropping-particle":"","family":"Pichler","given":"Irene","non-dropping-particle":"","parse-names":false,"suffix":""},{"dropping-particle":"","family":"Greco","given":"M. Fabiola","non-dropping-particle":"Del","parse-names":false,"suffix":""},{"dropping-particle":"","family":"Gögele","given":"Martin","non-dropping-particle":"","parse-names":false,"suffix":""},{"dropping-particle":"","family":"Lill","given":"Christina M.","non-dropping-particle":"","parse-names":false,"suffix":""},{"dropping-particle":"","family":"Bertram","given":"Lars","non-dropping-particle":"","parse-names":false,"suffix":""},{"dropping-particle":"","family":"Do","given":"Chuong B.","non-dropping-particle":"","parse-names":false,"suffix":""},{"dropping-particle":"","family":"Eriksson","given":"Nicholas","non-dropping-particle":"","parse-names":false,"suffix":""},{"dropping-particle":"","family":"Foroud","given":"Tatiana","non-dropping-particle":"","parse-names":false,"suffix":""},{"dropping-particle":"","family":"Myers","given":"Richard H.","non-dropping-particle":"","parse-names":false,"suffix":""},{"dropping-particle":"","family":"Nalls","given":"Michael","non-dropping-particle":"","parse-names":false,"suffix":""},{"dropping-particle":"","family":"Keller","given":"Margaux F.","non-dropping-particle":"","parse-names":false,"suffix":""},{"dropping-particle":"","family":"Benyamin","given":"Beben","non-dropping-particle":"","parse-names":false,"suffix":""},{"dropping-particle":"","family":"Whitfield","given":"John B.","non-dropping-particle":"","parse-names":false,"suffix":""},{"dropping-particle":"","family":"Pramstaller","given":"Peter P.","non-dropping-particle":"","parse-names":false,"suffix":""},{"dropping-particle":"","family":"Hicks","given":"Andrew A.","non-dropping-particle":"","parse-names":false,"suffix":""},{"dropping-particle":"","family":"Thompson","given":"John R.","non-dropping-particle":"","parse-names":false,"suffix":""},{"dropping-particle":"","family":"Minelli","given":"Cosetta","non-dropping-particle":"","parse-names":false,"suffix":""}],"container-title":"PLoS Medicine","id":"ITEM-1","issue":"6","issued":{"date-parts":[["2013"]]},"title":"Serum Iron Levels and the Risk of Parkinson Disease: A Mendelian Randomization Study","type":"article-journal","volume":"10"},"uris":["http://www.mendeley.com/documents/?uuid=845da852-e0f9-4512-949e-63765fc601b7"]}],"mendeley":{"formattedCitation":"(Pichler &lt;i&gt;et al.&lt;/i&gt; 2013)","plainTextFormattedCitation":"(Pichler et al. 2013)","previouslyFormattedCitation":"(Pichler &lt;i&gt;et al.&lt;/i&gt; 2013)"},"properties":{"noteIndex":0},"schema":"https://github.com/citation-style-language/schema/raw/master/csl-citation.json"}</w:instrText>
      </w:r>
      <w:r w:rsidR="005279DD" w:rsidRPr="003131ED">
        <w:rPr>
          <w:rFonts w:eastAsia="Arial"/>
          <w:sz w:val="22"/>
          <w:szCs w:val="22"/>
        </w:rPr>
        <w:fldChar w:fldCharType="separate"/>
      </w:r>
      <w:r w:rsidR="005279DD" w:rsidRPr="003131ED">
        <w:rPr>
          <w:rFonts w:eastAsia="Arial"/>
          <w:noProof/>
          <w:sz w:val="22"/>
          <w:szCs w:val="22"/>
        </w:rPr>
        <w:t xml:space="preserve">(Pichler </w:t>
      </w:r>
      <w:r w:rsidR="005279DD" w:rsidRPr="003131ED">
        <w:rPr>
          <w:rFonts w:eastAsia="Arial"/>
          <w:i/>
          <w:noProof/>
          <w:sz w:val="22"/>
          <w:szCs w:val="22"/>
        </w:rPr>
        <w:t>et al.</w:t>
      </w:r>
      <w:r w:rsidR="005279DD" w:rsidRPr="003131ED">
        <w:rPr>
          <w:rFonts w:eastAsia="Arial"/>
          <w:noProof/>
          <w:sz w:val="22"/>
          <w:szCs w:val="22"/>
        </w:rPr>
        <w:t xml:space="preserve"> 2013)</w:t>
      </w:r>
      <w:r w:rsidR="005279DD" w:rsidRPr="003131ED">
        <w:rPr>
          <w:rFonts w:eastAsia="Arial"/>
          <w:sz w:val="22"/>
          <w:szCs w:val="22"/>
        </w:rPr>
        <w:fldChar w:fldCharType="end"/>
      </w:r>
      <w:r w:rsidR="005279DD" w:rsidRPr="003131ED">
        <w:rPr>
          <w:rFonts w:eastAsia="Arial"/>
          <w:sz w:val="22"/>
          <w:szCs w:val="22"/>
        </w:rPr>
        <w:t xml:space="preserve">. </w:t>
      </w:r>
      <w:r w:rsidRPr="003131ED">
        <w:rPr>
          <w:rFonts w:eastAsia="Arial"/>
          <w:sz w:val="22"/>
          <w:szCs w:val="22"/>
        </w:rPr>
        <w:t>In this study</w:t>
      </w:r>
      <w:r w:rsidR="00503813" w:rsidRPr="003131ED">
        <w:rPr>
          <w:rFonts w:eastAsia="Arial"/>
          <w:sz w:val="22"/>
          <w:szCs w:val="22"/>
        </w:rPr>
        <w:t xml:space="preserve">, we </w:t>
      </w:r>
      <w:r w:rsidR="00E53AFF" w:rsidRPr="003131ED">
        <w:rPr>
          <w:rFonts w:eastAsia="Arial"/>
          <w:sz w:val="22"/>
          <w:szCs w:val="22"/>
        </w:rPr>
        <w:t>found that t</w:t>
      </w:r>
      <w:r w:rsidR="00190124" w:rsidRPr="003131ED">
        <w:rPr>
          <w:rFonts w:eastAsia="Arial"/>
          <w:sz w:val="22"/>
          <w:szCs w:val="22"/>
        </w:rPr>
        <w:t xml:space="preserve">he presence of </w:t>
      </w:r>
      <w:r w:rsidR="005279DD" w:rsidRPr="003131ED">
        <w:rPr>
          <w:rFonts w:eastAsia="Arial"/>
          <w:sz w:val="22"/>
          <w:szCs w:val="22"/>
        </w:rPr>
        <w:t xml:space="preserve">H63D </w:t>
      </w:r>
      <w:r w:rsidR="005279DD" w:rsidRPr="003131ED">
        <w:rPr>
          <w:rFonts w:eastAsia="Arial"/>
          <w:i/>
          <w:sz w:val="22"/>
          <w:szCs w:val="22"/>
        </w:rPr>
        <w:t>HFE</w:t>
      </w:r>
      <w:r w:rsidR="00190124" w:rsidRPr="003131ED">
        <w:rPr>
          <w:rFonts w:eastAsia="Arial"/>
          <w:sz w:val="22"/>
          <w:szCs w:val="22"/>
        </w:rPr>
        <w:t xml:space="preserve"> gene variant altered the </w:t>
      </w:r>
      <w:r w:rsidR="00E53AFF" w:rsidRPr="003131ED">
        <w:rPr>
          <w:rFonts w:eastAsia="Arial"/>
          <w:sz w:val="22"/>
          <w:szCs w:val="22"/>
        </w:rPr>
        <w:t xml:space="preserve">metabolism </w:t>
      </w:r>
      <w:r w:rsidR="00190124" w:rsidRPr="003131ED">
        <w:rPr>
          <w:rFonts w:eastAsia="Arial"/>
          <w:sz w:val="22"/>
          <w:szCs w:val="22"/>
        </w:rPr>
        <w:t xml:space="preserve">of </w:t>
      </w:r>
      <w:r w:rsidR="00FE5A4B" w:rsidRPr="003131ED">
        <w:rPr>
          <w:rFonts w:eastAsia="Arial"/>
          <w:sz w:val="22"/>
          <w:szCs w:val="22"/>
        </w:rPr>
        <w:sym w:font="Symbol" w:char="F061"/>
      </w:r>
      <w:r w:rsidR="00FE5A4B" w:rsidRPr="003131ED">
        <w:rPr>
          <w:rFonts w:eastAsia="Arial"/>
          <w:sz w:val="22"/>
          <w:szCs w:val="22"/>
        </w:rPr>
        <w:t>-synuclein in cell culture</w:t>
      </w:r>
      <w:r w:rsidR="00E653FE" w:rsidRPr="003131ED">
        <w:rPr>
          <w:rFonts w:eastAsia="Arial"/>
          <w:sz w:val="22"/>
          <w:szCs w:val="22"/>
        </w:rPr>
        <w:t xml:space="preserve"> and in </w:t>
      </w:r>
      <w:r w:rsidR="00FE5A4B" w:rsidRPr="003131ED">
        <w:rPr>
          <w:rFonts w:eastAsia="Arial"/>
          <w:sz w:val="22"/>
          <w:szCs w:val="22"/>
        </w:rPr>
        <w:t>animal mode</w:t>
      </w:r>
      <w:r w:rsidR="00E653FE" w:rsidRPr="003131ED">
        <w:rPr>
          <w:rFonts w:eastAsia="Arial"/>
          <w:sz w:val="22"/>
          <w:szCs w:val="22"/>
        </w:rPr>
        <w:t>l, consistent with increased autophagic flux.</w:t>
      </w:r>
      <w:r w:rsidR="00EA1027" w:rsidRPr="003131ED">
        <w:rPr>
          <w:rFonts w:eastAsia="Arial"/>
          <w:sz w:val="22"/>
          <w:szCs w:val="22"/>
        </w:rPr>
        <w:t xml:space="preserve"> </w:t>
      </w:r>
      <w:r w:rsidR="00E653FE" w:rsidRPr="003131ED">
        <w:rPr>
          <w:rFonts w:eastAsia="Arial"/>
          <w:sz w:val="22"/>
          <w:szCs w:val="22"/>
        </w:rPr>
        <w:t xml:space="preserve">We also showed that H63D </w:t>
      </w:r>
      <w:r w:rsidR="00E653FE" w:rsidRPr="003131ED">
        <w:rPr>
          <w:rFonts w:eastAsia="Arial"/>
          <w:i/>
          <w:sz w:val="22"/>
          <w:szCs w:val="22"/>
        </w:rPr>
        <w:t>HFE</w:t>
      </w:r>
      <w:r w:rsidR="00E653FE" w:rsidRPr="003131ED">
        <w:rPr>
          <w:rFonts w:eastAsia="Arial"/>
          <w:sz w:val="22"/>
          <w:szCs w:val="22"/>
        </w:rPr>
        <w:t xml:space="preserve"> </w:t>
      </w:r>
      <w:r w:rsidR="00A3002E" w:rsidRPr="003131ED">
        <w:rPr>
          <w:rFonts w:eastAsia="Arial"/>
          <w:sz w:val="22"/>
          <w:szCs w:val="22"/>
        </w:rPr>
        <w:t xml:space="preserve">expressing </w:t>
      </w:r>
      <w:r w:rsidR="00834233" w:rsidRPr="003131ED">
        <w:rPr>
          <w:rFonts w:eastAsia="Arial"/>
          <w:sz w:val="22"/>
          <w:szCs w:val="22"/>
        </w:rPr>
        <w:t>SH-SY5Y</w:t>
      </w:r>
      <w:r w:rsidR="00E653FE" w:rsidRPr="003131ED">
        <w:rPr>
          <w:rFonts w:eastAsia="Arial"/>
          <w:sz w:val="22"/>
          <w:szCs w:val="22"/>
        </w:rPr>
        <w:t xml:space="preserve"> cells were resistant to the neuroprotective effects of an iron chelator (deferiprone). </w:t>
      </w:r>
      <w:r w:rsidR="00EA1027" w:rsidRPr="003131ED">
        <w:rPr>
          <w:rFonts w:eastAsia="Arial"/>
          <w:sz w:val="22"/>
          <w:szCs w:val="22"/>
        </w:rPr>
        <w:t xml:space="preserve">SH-SY5Y is an immortalized cell line </w:t>
      </w:r>
      <w:r w:rsidR="006114DF" w:rsidRPr="003131ED">
        <w:rPr>
          <w:rFonts w:eastAsia="Arial"/>
          <w:sz w:val="22"/>
          <w:szCs w:val="22"/>
        </w:rPr>
        <w:t xml:space="preserve">that </w:t>
      </w:r>
      <w:r w:rsidR="00834233" w:rsidRPr="003131ED">
        <w:rPr>
          <w:rFonts w:eastAsia="Arial"/>
          <w:sz w:val="22"/>
          <w:szCs w:val="22"/>
        </w:rPr>
        <w:t>is derived from a neuroblastoma and therefore possess characteristics of cancer cells</w:t>
      </w:r>
      <w:r w:rsidR="009C26E8" w:rsidRPr="003131ED">
        <w:rPr>
          <w:rFonts w:eastAsia="Arial"/>
          <w:sz w:val="22"/>
          <w:szCs w:val="22"/>
        </w:rPr>
        <w:t xml:space="preserve"> that differ from dopaminergic neurons</w:t>
      </w:r>
      <w:r w:rsidR="0064464D" w:rsidRPr="003131ED">
        <w:rPr>
          <w:rFonts w:eastAsia="Arial"/>
          <w:sz w:val="22"/>
          <w:szCs w:val="22"/>
        </w:rPr>
        <w:t>.</w:t>
      </w:r>
      <w:r w:rsidR="00172D92" w:rsidRPr="003131ED">
        <w:rPr>
          <w:rFonts w:eastAsia="Arial"/>
          <w:sz w:val="22"/>
          <w:szCs w:val="22"/>
        </w:rPr>
        <w:t xml:space="preserve"> </w:t>
      </w:r>
      <w:r w:rsidR="00665E69" w:rsidRPr="003131ED">
        <w:rPr>
          <w:rFonts w:eastAsia="Arial"/>
          <w:sz w:val="22"/>
          <w:szCs w:val="22"/>
        </w:rPr>
        <w:t xml:space="preserve">To validate the </w:t>
      </w:r>
      <w:r w:rsidR="002654D6" w:rsidRPr="003131ED">
        <w:rPr>
          <w:rFonts w:eastAsia="Arial"/>
          <w:i/>
          <w:sz w:val="22"/>
          <w:szCs w:val="22"/>
        </w:rPr>
        <w:t>in vitro</w:t>
      </w:r>
      <w:r w:rsidR="002654D6" w:rsidRPr="003131ED">
        <w:rPr>
          <w:rFonts w:eastAsia="Arial"/>
          <w:sz w:val="22"/>
          <w:szCs w:val="22"/>
        </w:rPr>
        <w:t xml:space="preserve"> findings </w:t>
      </w:r>
      <w:r w:rsidR="000D68E9" w:rsidRPr="003131ED">
        <w:rPr>
          <w:rFonts w:eastAsia="Arial"/>
          <w:sz w:val="22"/>
          <w:szCs w:val="22"/>
        </w:rPr>
        <w:t xml:space="preserve">which </w:t>
      </w:r>
      <w:r w:rsidR="00EC5CC2" w:rsidRPr="003131ED">
        <w:rPr>
          <w:rFonts w:eastAsia="Arial"/>
          <w:sz w:val="22"/>
          <w:szCs w:val="22"/>
        </w:rPr>
        <w:t>demonstrated</w:t>
      </w:r>
      <w:r w:rsidR="000D68E9" w:rsidRPr="003131ED">
        <w:rPr>
          <w:rFonts w:eastAsia="Arial"/>
          <w:sz w:val="22"/>
          <w:szCs w:val="22"/>
        </w:rPr>
        <w:t xml:space="preserve"> decreased </w:t>
      </w:r>
      <w:r w:rsidR="000D68E9" w:rsidRPr="003131ED">
        <w:rPr>
          <w:rFonts w:eastAsia="Arial"/>
          <w:sz w:val="22"/>
          <w:szCs w:val="22"/>
        </w:rPr>
        <w:sym w:font="Symbol" w:char="F061"/>
      </w:r>
      <w:r w:rsidR="000D68E9" w:rsidRPr="003131ED">
        <w:rPr>
          <w:rFonts w:eastAsia="Arial"/>
          <w:sz w:val="22"/>
          <w:szCs w:val="22"/>
        </w:rPr>
        <w:t xml:space="preserve">-synuclein aggregation and PFF mediated toxicity, </w:t>
      </w:r>
      <w:r w:rsidR="00A255B4" w:rsidRPr="003131ED">
        <w:rPr>
          <w:rFonts w:eastAsia="Arial"/>
          <w:sz w:val="22"/>
          <w:szCs w:val="22"/>
        </w:rPr>
        <w:t xml:space="preserve">intracranial PFF injection mouse model was used to </w:t>
      </w:r>
      <w:r w:rsidR="00EC5CC2" w:rsidRPr="003131ED">
        <w:rPr>
          <w:rFonts w:eastAsia="Arial"/>
          <w:sz w:val="22"/>
          <w:szCs w:val="22"/>
        </w:rPr>
        <w:t xml:space="preserve">show </w:t>
      </w:r>
      <w:r w:rsidR="00D13183" w:rsidRPr="003131ED">
        <w:rPr>
          <w:rFonts w:eastAsia="Arial"/>
          <w:sz w:val="22"/>
          <w:szCs w:val="22"/>
        </w:rPr>
        <w:t xml:space="preserve">the impact of the </w:t>
      </w:r>
      <w:r w:rsidR="00D13183" w:rsidRPr="003131ED">
        <w:rPr>
          <w:rFonts w:eastAsia="Arial"/>
          <w:i/>
          <w:sz w:val="22"/>
          <w:szCs w:val="22"/>
        </w:rPr>
        <w:t>HFE</w:t>
      </w:r>
      <w:r w:rsidR="00D13183" w:rsidRPr="003131ED">
        <w:rPr>
          <w:rFonts w:eastAsia="Arial"/>
          <w:sz w:val="22"/>
          <w:szCs w:val="22"/>
        </w:rPr>
        <w:t xml:space="preserve"> variant </w:t>
      </w:r>
      <w:r w:rsidR="00EE50A5" w:rsidRPr="003131ED">
        <w:rPr>
          <w:rFonts w:eastAsia="Arial"/>
          <w:sz w:val="22"/>
          <w:szCs w:val="22"/>
        </w:rPr>
        <w:t xml:space="preserve">on </w:t>
      </w:r>
      <w:r w:rsidR="00EE50A5" w:rsidRPr="003131ED">
        <w:rPr>
          <w:rFonts w:eastAsia="Arial"/>
          <w:sz w:val="22"/>
          <w:szCs w:val="22"/>
        </w:rPr>
        <w:sym w:font="Symbol" w:char="F061"/>
      </w:r>
      <w:r w:rsidR="00EE50A5" w:rsidRPr="003131ED">
        <w:rPr>
          <w:rFonts w:eastAsia="Arial"/>
          <w:sz w:val="22"/>
          <w:szCs w:val="22"/>
        </w:rPr>
        <w:t xml:space="preserve">-synuclein </w:t>
      </w:r>
      <w:r w:rsidR="00EE50A5" w:rsidRPr="003131ED">
        <w:rPr>
          <w:rFonts w:eastAsia="Arial"/>
          <w:i/>
          <w:sz w:val="22"/>
          <w:szCs w:val="22"/>
        </w:rPr>
        <w:t>in vivo</w:t>
      </w:r>
      <w:r w:rsidR="00EE50A5" w:rsidRPr="003131ED">
        <w:rPr>
          <w:rFonts w:eastAsia="Arial"/>
          <w:sz w:val="22"/>
          <w:szCs w:val="22"/>
        </w:rPr>
        <w:t>.</w:t>
      </w:r>
      <w:r w:rsidR="00840DF4" w:rsidRPr="003131ED">
        <w:rPr>
          <w:rFonts w:eastAsia="Arial"/>
          <w:sz w:val="22"/>
          <w:szCs w:val="22"/>
        </w:rPr>
        <w:t xml:space="preserve"> </w:t>
      </w:r>
      <w:r w:rsidR="00E653FE" w:rsidRPr="003131ED">
        <w:rPr>
          <w:rFonts w:eastAsia="Arial"/>
          <w:sz w:val="22"/>
          <w:szCs w:val="22"/>
        </w:rPr>
        <w:t>Overall, o</w:t>
      </w:r>
      <w:r w:rsidR="00FE5A4B" w:rsidRPr="003131ED">
        <w:rPr>
          <w:rFonts w:eastAsia="Arial"/>
          <w:sz w:val="22"/>
          <w:szCs w:val="22"/>
        </w:rPr>
        <w:t>ur data</w:t>
      </w:r>
      <w:r w:rsidR="00E653FE" w:rsidRPr="003131ED">
        <w:rPr>
          <w:rFonts w:eastAsia="Arial"/>
          <w:sz w:val="22"/>
          <w:szCs w:val="22"/>
        </w:rPr>
        <w:t xml:space="preserve"> </w:t>
      </w:r>
      <w:r w:rsidR="00FE5A4B" w:rsidRPr="003131ED">
        <w:rPr>
          <w:rFonts w:eastAsia="Arial"/>
          <w:sz w:val="22"/>
          <w:szCs w:val="22"/>
        </w:rPr>
        <w:t xml:space="preserve">support </w:t>
      </w:r>
      <w:r w:rsidR="00E653FE" w:rsidRPr="003131ED">
        <w:rPr>
          <w:rFonts w:eastAsia="Arial"/>
          <w:sz w:val="22"/>
          <w:szCs w:val="22"/>
        </w:rPr>
        <w:t xml:space="preserve">the idea that </w:t>
      </w:r>
      <w:r w:rsidR="00FE5A4B" w:rsidRPr="003131ED">
        <w:rPr>
          <w:rFonts w:eastAsia="Arial"/>
          <w:sz w:val="22"/>
          <w:szCs w:val="22"/>
        </w:rPr>
        <w:t xml:space="preserve">H63D </w:t>
      </w:r>
      <w:r w:rsidR="00FE5A4B" w:rsidRPr="003131ED">
        <w:rPr>
          <w:rFonts w:eastAsia="Arial"/>
          <w:i/>
          <w:sz w:val="22"/>
          <w:szCs w:val="22"/>
        </w:rPr>
        <w:t>HFE</w:t>
      </w:r>
      <w:r w:rsidR="00FE5A4B" w:rsidRPr="003131ED">
        <w:rPr>
          <w:rFonts w:eastAsia="Arial"/>
          <w:sz w:val="22"/>
          <w:szCs w:val="22"/>
        </w:rPr>
        <w:t xml:space="preserve"> gene variant </w:t>
      </w:r>
      <w:r w:rsidR="001356E9" w:rsidRPr="003131ED">
        <w:rPr>
          <w:rFonts w:eastAsia="Arial"/>
          <w:sz w:val="22"/>
          <w:szCs w:val="22"/>
        </w:rPr>
        <w:t xml:space="preserve">modulates sensitivity to </w:t>
      </w:r>
      <w:r w:rsidR="001356E9" w:rsidRPr="003131ED">
        <w:rPr>
          <w:rFonts w:eastAsia="Arial"/>
          <w:sz w:val="22"/>
          <w:szCs w:val="22"/>
        </w:rPr>
        <w:sym w:font="Symbol" w:char="F061"/>
      </w:r>
      <w:r w:rsidR="001356E9" w:rsidRPr="003131ED">
        <w:rPr>
          <w:rFonts w:eastAsia="Arial"/>
          <w:sz w:val="22"/>
          <w:szCs w:val="22"/>
        </w:rPr>
        <w:t xml:space="preserve">-synuclein toxicity via its effects on protein degradation, which may lead to altered Parkinson’s disease pathology. </w:t>
      </w:r>
    </w:p>
    <w:p w14:paraId="53FCF000" w14:textId="77777777" w:rsidR="001356E9" w:rsidRPr="003131ED" w:rsidRDefault="001356E9" w:rsidP="00D0468C">
      <w:pPr>
        <w:spacing w:line="360" w:lineRule="auto"/>
        <w:jc w:val="both"/>
        <w:rPr>
          <w:rFonts w:eastAsia="Arial"/>
          <w:sz w:val="22"/>
          <w:szCs w:val="22"/>
        </w:rPr>
      </w:pPr>
    </w:p>
    <w:p w14:paraId="25F1738C" w14:textId="76A13036" w:rsidR="00503813" w:rsidRPr="003131ED" w:rsidRDefault="00503813" w:rsidP="00D0468C">
      <w:pPr>
        <w:spacing w:line="360" w:lineRule="auto"/>
        <w:jc w:val="both"/>
        <w:rPr>
          <w:rFonts w:eastAsia="Arial"/>
          <w:sz w:val="22"/>
          <w:szCs w:val="22"/>
        </w:rPr>
      </w:pPr>
      <w:r w:rsidRPr="003131ED">
        <w:rPr>
          <w:rFonts w:eastAsia="Arial"/>
          <w:sz w:val="22"/>
          <w:szCs w:val="22"/>
        </w:rPr>
        <w:t xml:space="preserve">The PFF model of </w:t>
      </w:r>
      <w:r w:rsidR="00F75B0F" w:rsidRPr="003131ED">
        <w:rPr>
          <w:rFonts w:eastAsia="Arial"/>
          <w:sz w:val="22"/>
          <w:szCs w:val="22"/>
        </w:rPr>
        <w:t>Parkinson’s disease</w:t>
      </w:r>
      <w:r w:rsidRPr="003131ED">
        <w:rPr>
          <w:rFonts w:eastAsia="Arial"/>
          <w:sz w:val="22"/>
          <w:szCs w:val="22"/>
        </w:rPr>
        <w:t xml:space="preserve"> is well established in cells and animals for inducing </w:t>
      </w:r>
      <w:r w:rsidRPr="003131ED">
        <w:rPr>
          <w:rFonts w:eastAsia="Arial"/>
          <w:sz w:val="22"/>
          <w:szCs w:val="22"/>
        </w:rPr>
        <w:sym w:font="Symbol" w:char="F061"/>
      </w:r>
      <w:r w:rsidRPr="003131ED">
        <w:rPr>
          <w:rFonts w:eastAsia="Arial"/>
          <w:sz w:val="22"/>
          <w:szCs w:val="22"/>
        </w:rPr>
        <w:t>-syn</w:t>
      </w:r>
      <w:r w:rsidR="00A33C99" w:rsidRPr="003131ED">
        <w:rPr>
          <w:rFonts w:eastAsia="Arial"/>
          <w:sz w:val="22"/>
          <w:szCs w:val="22"/>
        </w:rPr>
        <w:t>uclein</w:t>
      </w:r>
      <w:r w:rsidRPr="003131ED">
        <w:rPr>
          <w:rFonts w:eastAsia="Arial"/>
          <w:sz w:val="22"/>
          <w:szCs w:val="22"/>
        </w:rPr>
        <w:t xml:space="preserve"> ‘seeding’ and spread, which are key components of </w:t>
      </w:r>
      <w:r w:rsidR="000C5239" w:rsidRPr="003131ED">
        <w:rPr>
          <w:rFonts w:eastAsia="Arial"/>
          <w:sz w:val="22"/>
          <w:szCs w:val="22"/>
        </w:rPr>
        <w:t xml:space="preserve">Parkinson’s disease </w:t>
      </w:r>
      <w:r w:rsidRPr="003131ED">
        <w:rPr>
          <w:rFonts w:eastAsia="Arial"/>
          <w:sz w:val="22"/>
          <w:szCs w:val="22"/>
        </w:rPr>
        <w:sym w:font="Symbol" w:char="F061"/>
      </w:r>
      <w:r w:rsidRPr="003131ED">
        <w:rPr>
          <w:rFonts w:eastAsia="Arial"/>
          <w:sz w:val="22"/>
          <w:szCs w:val="22"/>
        </w:rPr>
        <w:t>-synucleinopathy</w:t>
      </w:r>
      <w:r w:rsidR="000C5239" w:rsidRPr="003131ED">
        <w:rPr>
          <w:rFonts w:eastAsia="Arial"/>
          <w:sz w:val="22"/>
          <w:szCs w:val="22"/>
        </w:rPr>
        <w:t xml:space="preserve"> </w:t>
      </w:r>
      <w:r w:rsidR="000C5239" w:rsidRPr="003131ED">
        <w:rPr>
          <w:rFonts w:eastAsia="Arial"/>
          <w:sz w:val="22"/>
          <w:szCs w:val="22"/>
        </w:rPr>
        <w:fldChar w:fldCharType="begin" w:fldLock="1"/>
      </w:r>
      <w:r w:rsidR="00D86B9A" w:rsidRPr="003131ED">
        <w:rPr>
          <w:rFonts w:eastAsia="Arial"/>
          <w:sz w:val="22"/>
          <w:szCs w:val="22"/>
        </w:rPr>
        <w:instrText>ADDIN CSL_CITATION {"citationItems":[{"id":"ITEM-1","itemData":{"DOI":"10.1016/j.neuron.2011.08.033","ISBN":"1097-4199 (Electronic)\\n0896-6273 (Linking)","ISSN":"08966273","PMID":"21982369","abstract":"Inclusions composed of ??-synuclein (??-syn), i.e., Lewy bodies (LBs) and Lewy neurites (LNs), define synucleinopathies including Parkinson's disease (PD) and dementia with Lewy bodies (DLB). Here, we demonstrate that preformed fibrils generated from full-length and truncated recombinant ??-syn enter primary neurons, probably by adsorptive-mediated endocytosis, and promote recruitment of soluble endogenous ??-syn into insoluble PD-like LBs and LNs. Remarkably, endogenous ??-syn was sufficient for formation of these aggregates, and overexpression of wild-type or mutant ??-syn was not required. LN-like pathology first developed in axons and propagated to form LB-like inclusions in perikarya. Accumulation of pathologic ??-syn led to selective decreases in synaptic proteins, progressive impairments in neuronal excitability and connectivity, and, eventually, neuron death. Thus, our data contribute important insights into the etiology and pathogenesis of PD-like ??-syn inclusions and their impact on neuronal functions, and they provide a model for discovering therapeutics targeting pathologic ??-syn-mediated neurodegeneration. ?? 2011 Elsevier Inc.","author":[{"dropping-particle":"","family":"Volpicelli-Daley","given":"Laura A.","non-dropping-particle":"","parse-names":false,"suffix":""},{"dropping-particle":"","family":"Luk","given":"Kelvin C.","non-dropping-particle":"","parse-names":false,"suffix":""},{"dropping-particle":"","family":"Patel","given":"Tapan P.","non-dropping-particle":"","parse-names":false,"suffix":""},{"dropping-particle":"","family":"Tanik","given":"Selcuk A.","non-dropping-particle":"","parse-names":false,"suffix":""},{"dropping-particle":"","family":"Riddle","given":"Dawn M.","non-dropping-particle":"","parse-names":false,"suffix":""},{"dropping-particle":"","family":"Stieber","given":"Anna","non-dropping-particle":"","parse-names":false,"suffix":""},{"dropping-particle":"","family":"Meaney","given":"David F.","non-dropping-particle":"","parse-names":false,"suffix":""},{"dropping-particle":"","family":"Trojanowski","given":"John Q.","non-dropping-particle":"","parse-names":false,"suffix":""},{"dropping-particle":"","family":"Lee","given":"Virginia M Y","non-dropping-particle":"","parse-names":false,"suffix":""}],"container-title":"Neuron","id":"ITEM-1","issue":"1","issued":{"date-parts":[["2011"]]},"page":"57-71","publisher":"Elsevier Inc.","title":"Exogenous Alpha-Synuclein Fibrils Induce Lewy Body Pathology Leading to Synaptic Dysfunction and Neuron Death","type":"article-journal","volume":"72"},"uris":["http://www.mendeley.com/documents/?uuid=1e32ad05-bde4-4b0f-a258-83be7b5739c1"]},{"id":"ITEM-2","itemData":{"DOI":"10.1073/pnas.0908005106","ISSN":"00278424","PMID":"19892735","abstract":"Cytoplasmic inclusions containing alpha-synuclein (alpha-Syn) fibrils, referred to as Lewy bodies (LBs), are the signature neuropathological hallmarks of Parkinson's disease (PD). Although alpha-Syn fibrils can be generated from recombinant alpha-Syn protein in vitro, the production of fibrillar alpha-Syn inclusions similar to authentic LBs in cultured cells has not been achieved. We show here that intracellular alpha-Syn aggregation can be triggered by the introduction of exogenously produced recombinant alpha-Syn fibrils into cultured cells engineered to overexpress alpha-Syn. Unlike unassembled alpha-Syn, these alpha-Syn fibrils \"seeded\" recruitment of endogenous soluble alpha-Syn protein and their conversion into insoluble, hyperphosphorylated, and ubiquitinated pathological species. Thus, this cell model recapitulates key features of LBs in human PD brains. Also, these findings support the concept that intracellular alpha-Syn aggregation is normally limited by the number of active nucleation sites present in the cytoplasm and that small quantities of alpha-Syn fibrils can alter this balance by acting as seeds for aggregation.","author":[{"dropping-particle":"","family":"Luk","given":"Kelvin C.","non-dropping-particle":"","parse-names":false,"suffix":""},{"dropping-particle":"","family":"Song","given":"Cheng","non-dropping-particle":"","parse-names":false,"suffix":""},{"dropping-particle":"","family":"O'Brien","given":"Patrick","non-dropping-particle":"","parse-names":false,"suffix":""},{"dropping-particle":"","family":"Stieber","given":"Anna","non-dropping-particle":"","parse-names":false,"suffix":""},{"dropping-particle":"","family":"Branch","given":"Jonathan R.","non-dropping-particle":"","parse-names":false,"suffix":""},{"dropping-particle":"","family":"Brunden","given":"Kurt R.","non-dropping-particle":"","parse-names":false,"suffix":""},{"dropping-particle":"","family":"Trojanowski","given":"John Q.","non-dropping-particle":"","parse-names":false,"suffix":""},{"dropping-particle":"","family":"Lee","given":"Virginia M.-Y.","non-dropping-particle":"","parse-names":false,"suffix":""}],"container-title":"Proceedings of the National Academy of Sciences of the United States of America","id":"ITEM-2","issue":"47","issued":{"date-parts":[["2009","11","24"]]},"page":"20051-20056","title":"Exogenous α-synuclein fibrils seed the formation of Lewy body-like intracellular inclusions in cultured cells","type":"article-journal","volume":"106"},"uris":["http://www.mendeley.com/documents/?uuid=a4e60ae6-7a6e-3a53-ba5b-e186e69de84a"]}],"mendeley":{"formattedCitation":"(Volpicelli-Daley &lt;i&gt;et al.&lt;/i&gt; 2011; Luk &lt;i&gt;et al.&lt;/i&gt; 2009)","plainTextFormattedCitation":"(Volpicelli-Daley et al. 2011; Luk et al. 2009)","previouslyFormattedCitation":"(Volpicelli-Daley &lt;i&gt;et al.&lt;/i&gt; 2011; Luk &lt;i&gt;et al.&lt;/i&gt; 2009)"},"properties":{"noteIndex":0},"schema":"https://github.com/citation-style-language/schema/raw/master/csl-citation.json"}</w:instrText>
      </w:r>
      <w:r w:rsidR="000C5239" w:rsidRPr="003131ED">
        <w:rPr>
          <w:rFonts w:eastAsia="Arial"/>
          <w:sz w:val="22"/>
          <w:szCs w:val="22"/>
        </w:rPr>
        <w:fldChar w:fldCharType="separate"/>
      </w:r>
      <w:r w:rsidR="00D86B9A" w:rsidRPr="003131ED">
        <w:rPr>
          <w:rFonts w:eastAsia="Arial"/>
          <w:noProof/>
          <w:sz w:val="22"/>
          <w:szCs w:val="22"/>
        </w:rPr>
        <w:t xml:space="preserve">(Volpicelli-Daley </w:t>
      </w:r>
      <w:r w:rsidR="00D86B9A" w:rsidRPr="003131ED">
        <w:rPr>
          <w:rFonts w:eastAsia="Arial"/>
          <w:i/>
          <w:noProof/>
          <w:sz w:val="22"/>
          <w:szCs w:val="22"/>
        </w:rPr>
        <w:t>et al.</w:t>
      </w:r>
      <w:r w:rsidR="00D86B9A" w:rsidRPr="003131ED">
        <w:rPr>
          <w:rFonts w:eastAsia="Arial"/>
          <w:noProof/>
          <w:sz w:val="22"/>
          <w:szCs w:val="22"/>
        </w:rPr>
        <w:t xml:space="preserve"> 2011; Luk </w:t>
      </w:r>
      <w:r w:rsidR="00D86B9A" w:rsidRPr="003131ED">
        <w:rPr>
          <w:rFonts w:eastAsia="Arial"/>
          <w:i/>
          <w:noProof/>
          <w:sz w:val="22"/>
          <w:szCs w:val="22"/>
        </w:rPr>
        <w:t>et al.</w:t>
      </w:r>
      <w:r w:rsidR="00D86B9A" w:rsidRPr="003131ED">
        <w:rPr>
          <w:rFonts w:eastAsia="Arial"/>
          <w:noProof/>
          <w:sz w:val="22"/>
          <w:szCs w:val="22"/>
        </w:rPr>
        <w:t xml:space="preserve"> 2009)</w:t>
      </w:r>
      <w:r w:rsidR="000C5239" w:rsidRPr="003131ED">
        <w:rPr>
          <w:rFonts w:eastAsia="Arial"/>
          <w:sz w:val="22"/>
          <w:szCs w:val="22"/>
        </w:rPr>
        <w:fldChar w:fldCharType="end"/>
      </w:r>
      <w:r w:rsidRPr="003131ED">
        <w:rPr>
          <w:rFonts w:eastAsia="Arial"/>
          <w:sz w:val="22"/>
          <w:szCs w:val="22"/>
        </w:rPr>
        <w:t xml:space="preserve">. H63D </w:t>
      </w:r>
      <w:r w:rsidRPr="003131ED">
        <w:rPr>
          <w:rFonts w:eastAsia="Arial"/>
          <w:i/>
          <w:sz w:val="22"/>
          <w:szCs w:val="22"/>
        </w:rPr>
        <w:t>HFE</w:t>
      </w:r>
      <w:r w:rsidRPr="003131ED">
        <w:rPr>
          <w:rFonts w:eastAsia="Arial"/>
          <w:sz w:val="22"/>
          <w:szCs w:val="22"/>
        </w:rPr>
        <w:t xml:space="preserve"> cells showed decreased </w:t>
      </w:r>
      <w:r w:rsidRPr="003131ED">
        <w:rPr>
          <w:rFonts w:eastAsia="Arial"/>
          <w:sz w:val="22"/>
          <w:szCs w:val="22"/>
        </w:rPr>
        <w:sym w:font="Symbol" w:char="F061"/>
      </w:r>
      <w:r w:rsidRPr="003131ED">
        <w:rPr>
          <w:rFonts w:eastAsia="Arial"/>
          <w:sz w:val="22"/>
          <w:szCs w:val="22"/>
        </w:rPr>
        <w:t xml:space="preserve">-synuclein aggregation and increased cell viability with PFF treatment. </w:t>
      </w:r>
      <w:r w:rsidR="00641479" w:rsidRPr="003131ED">
        <w:rPr>
          <w:rFonts w:eastAsia="Arial"/>
          <w:sz w:val="22"/>
          <w:szCs w:val="22"/>
        </w:rPr>
        <w:t>Furthermore, w</w:t>
      </w:r>
      <w:r w:rsidR="004B03E7" w:rsidRPr="003131ED">
        <w:rPr>
          <w:rFonts w:eastAsia="Arial"/>
          <w:sz w:val="22"/>
          <w:szCs w:val="22"/>
        </w:rPr>
        <w:t xml:space="preserve">e show that with </w:t>
      </w:r>
      <w:r w:rsidR="00641479" w:rsidRPr="003131ED">
        <w:rPr>
          <w:rFonts w:eastAsia="Arial"/>
          <w:sz w:val="22"/>
          <w:szCs w:val="22"/>
        </w:rPr>
        <w:t>PFF injection</w:t>
      </w:r>
      <w:r w:rsidR="004B03E7" w:rsidRPr="003131ED">
        <w:rPr>
          <w:rFonts w:eastAsia="Arial"/>
          <w:sz w:val="22"/>
          <w:szCs w:val="22"/>
        </w:rPr>
        <w:t xml:space="preserve">, </w:t>
      </w:r>
      <w:r w:rsidR="00A00A4D" w:rsidRPr="003131ED">
        <w:rPr>
          <w:rFonts w:eastAsia="Arial"/>
          <w:sz w:val="22"/>
          <w:szCs w:val="22"/>
        </w:rPr>
        <w:t xml:space="preserve">H67D </w:t>
      </w:r>
      <w:r w:rsidR="00A00A4D" w:rsidRPr="003131ED">
        <w:rPr>
          <w:rFonts w:eastAsia="Arial"/>
          <w:i/>
          <w:sz w:val="22"/>
          <w:szCs w:val="22"/>
        </w:rPr>
        <w:t xml:space="preserve">Hfe </w:t>
      </w:r>
      <w:r w:rsidR="00641479" w:rsidRPr="003131ED">
        <w:rPr>
          <w:rFonts w:eastAsia="Arial"/>
          <w:sz w:val="22"/>
          <w:szCs w:val="22"/>
        </w:rPr>
        <w:t xml:space="preserve">(homologous to human H63D </w:t>
      </w:r>
      <w:r w:rsidR="00641479" w:rsidRPr="003131ED">
        <w:rPr>
          <w:rFonts w:eastAsia="Arial"/>
          <w:i/>
          <w:sz w:val="22"/>
          <w:szCs w:val="22"/>
        </w:rPr>
        <w:t>HFE</w:t>
      </w:r>
      <w:r w:rsidR="00641479" w:rsidRPr="003131ED">
        <w:rPr>
          <w:rFonts w:eastAsia="Arial"/>
          <w:sz w:val="22"/>
          <w:szCs w:val="22"/>
        </w:rPr>
        <w:t xml:space="preserve">) </w:t>
      </w:r>
      <w:r w:rsidR="004B03E7" w:rsidRPr="003131ED">
        <w:rPr>
          <w:rFonts w:eastAsia="Arial"/>
          <w:sz w:val="22"/>
          <w:szCs w:val="22"/>
        </w:rPr>
        <w:t>mice</w:t>
      </w:r>
      <w:r w:rsidR="004132FC" w:rsidRPr="003131ED">
        <w:rPr>
          <w:rFonts w:eastAsia="Arial"/>
          <w:sz w:val="22"/>
          <w:szCs w:val="22"/>
        </w:rPr>
        <w:t xml:space="preserve"> </w:t>
      </w:r>
      <w:r w:rsidR="00641479" w:rsidRPr="003131ED">
        <w:rPr>
          <w:rFonts w:eastAsia="Arial"/>
          <w:sz w:val="22"/>
          <w:szCs w:val="22"/>
        </w:rPr>
        <w:t xml:space="preserve">are better able to maintain their motor function and </w:t>
      </w:r>
      <w:r w:rsidR="004B03E7" w:rsidRPr="003131ED">
        <w:rPr>
          <w:rFonts w:eastAsia="Arial"/>
          <w:sz w:val="22"/>
          <w:szCs w:val="22"/>
        </w:rPr>
        <w:t xml:space="preserve">have decreased </w:t>
      </w:r>
      <w:r w:rsidR="004B03E7" w:rsidRPr="003131ED">
        <w:rPr>
          <w:rFonts w:eastAsia="Arial"/>
          <w:sz w:val="22"/>
          <w:szCs w:val="22"/>
        </w:rPr>
        <w:sym w:font="Symbol" w:char="F061"/>
      </w:r>
      <w:r w:rsidR="004B03E7" w:rsidRPr="003131ED">
        <w:rPr>
          <w:rFonts w:eastAsia="Arial"/>
          <w:sz w:val="22"/>
          <w:szCs w:val="22"/>
        </w:rPr>
        <w:t>-synuclein aggregation</w:t>
      </w:r>
      <w:r w:rsidR="00641479" w:rsidRPr="003131ED">
        <w:rPr>
          <w:rFonts w:eastAsia="Arial"/>
          <w:sz w:val="22"/>
          <w:szCs w:val="22"/>
        </w:rPr>
        <w:t xml:space="preserve">, </w:t>
      </w:r>
      <w:r w:rsidR="006B53F1" w:rsidRPr="003131ED">
        <w:rPr>
          <w:rFonts w:eastAsia="Arial"/>
          <w:sz w:val="22"/>
          <w:szCs w:val="22"/>
        </w:rPr>
        <w:t xml:space="preserve">supporting the </w:t>
      </w:r>
      <w:r w:rsidR="00C7188E" w:rsidRPr="003131ED">
        <w:rPr>
          <w:rFonts w:eastAsia="Arial"/>
          <w:sz w:val="22"/>
          <w:szCs w:val="22"/>
        </w:rPr>
        <w:t>concept</w:t>
      </w:r>
      <w:r w:rsidR="004132FC" w:rsidRPr="003131ED">
        <w:rPr>
          <w:rFonts w:eastAsia="Arial"/>
          <w:sz w:val="22"/>
          <w:szCs w:val="22"/>
        </w:rPr>
        <w:t xml:space="preserve"> </w:t>
      </w:r>
      <w:r w:rsidRPr="003131ED">
        <w:rPr>
          <w:rFonts w:eastAsia="Arial"/>
          <w:sz w:val="22"/>
          <w:szCs w:val="22"/>
        </w:rPr>
        <w:t xml:space="preserve">that H63D </w:t>
      </w:r>
      <w:r w:rsidRPr="003131ED">
        <w:rPr>
          <w:rFonts w:eastAsia="Arial"/>
          <w:i/>
          <w:sz w:val="22"/>
          <w:szCs w:val="22"/>
        </w:rPr>
        <w:t>HFE</w:t>
      </w:r>
      <w:r w:rsidRPr="003131ED">
        <w:rPr>
          <w:rFonts w:eastAsia="Arial"/>
          <w:sz w:val="22"/>
          <w:szCs w:val="22"/>
        </w:rPr>
        <w:t xml:space="preserve"> variant may be protective against </w:t>
      </w:r>
      <w:r w:rsidR="004B03E7" w:rsidRPr="003131ED">
        <w:rPr>
          <w:rFonts w:eastAsia="Arial"/>
          <w:sz w:val="22"/>
          <w:szCs w:val="22"/>
        </w:rPr>
        <w:t>Parkinson’s disease</w:t>
      </w:r>
      <w:r w:rsidRPr="003131ED">
        <w:rPr>
          <w:rFonts w:eastAsia="Arial"/>
          <w:sz w:val="22"/>
          <w:szCs w:val="22"/>
        </w:rPr>
        <w:t xml:space="preserve">. </w:t>
      </w:r>
      <w:r w:rsidR="00641479" w:rsidRPr="003131ED">
        <w:rPr>
          <w:rFonts w:eastAsia="Arial"/>
          <w:sz w:val="22"/>
          <w:szCs w:val="22"/>
        </w:rPr>
        <w:t xml:space="preserve">Additionally, mice that carry H67D </w:t>
      </w:r>
      <w:r w:rsidR="00641479" w:rsidRPr="003131ED">
        <w:rPr>
          <w:rFonts w:eastAsia="Arial"/>
          <w:i/>
          <w:sz w:val="22"/>
          <w:szCs w:val="22"/>
        </w:rPr>
        <w:t>Hfe</w:t>
      </w:r>
      <w:r w:rsidR="00641479" w:rsidRPr="003131ED">
        <w:rPr>
          <w:rFonts w:eastAsia="Arial"/>
          <w:sz w:val="22"/>
          <w:szCs w:val="22"/>
        </w:rPr>
        <w:t xml:space="preserve"> have</w:t>
      </w:r>
      <w:r w:rsidR="002E1629" w:rsidRPr="003131ED">
        <w:rPr>
          <w:rFonts w:eastAsia="Arial"/>
          <w:sz w:val="22"/>
          <w:szCs w:val="22"/>
        </w:rPr>
        <w:t xml:space="preserve"> </w:t>
      </w:r>
      <w:r w:rsidR="00641479" w:rsidRPr="003131ED">
        <w:rPr>
          <w:rFonts w:eastAsia="Arial"/>
          <w:sz w:val="22"/>
          <w:szCs w:val="22"/>
        </w:rPr>
        <w:t>been reported to have decreased sensitivity to</w:t>
      </w:r>
      <w:r w:rsidR="00D43AEA" w:rsidRPr="003131ED">
        <w:rPr>
          <w:rFonts w:eastAsia="Arial"/>
          <w:sz w:val="22"/>
          <w:szCs w:val="22"/>
        </w:rPr>
        <w:t xml:space="preserve"> </w:t>
      </w:r>
      <w:r w:rsidR="00641479" w:rsidRPr="003131ED">
        <w:rPr>
          <w:rFonts w:eastAsia="Arial"/>
          <w:sz w:val="22"/>
          <w:szCs w:val="22"/>
        </w:rPr>
        <w:t xml:space="preserve">paraquat treatment, a mitochondrial neurotoxin model of Parkinson’s disease </w:t>
      </w:r>
      <w:r w:rsidR="00641479" w:rsidRPr="003131ED">
        <w:rPr>
          <w:rFonts w:eastAsia="Arial"/>
          <w:sz w:val="22"/>
          <w:szCs w:val="22"/>
        </w:rPr>
        <w:fldChar w:fldCharType="begin" w:fldLock="1"/>
      </w:r>
      <w:r w:rsidR="00641479" w:rsidRPr="003131ED">
        <w:rPr>
          <w:rFonts w:eastAsia="Arial"/>
          <w:sz w:val="22"/>
          <w:szCs w:val="22"/>
        </w:rPr>
        <w:instrText>ADDIN CSL_CITATION {"citationItems":[{"id":"ITEM-1","itemData":{"DOI":"10.1111/jnc.14299","ISSN":"00223042","PMID":"29315562","abstract":"Parkinson's disease is marked clinically by motor dysfunction and pathologically by dopaminergic cell loss in the substantia nigra and iron accumulation in the substantia nigra. The driver underlying iron accumulation remains unknown and could be genetic or environmental. The HFE protein is critical for the regulation of cellular iron uptake. Mutations within this protein are associated with increased iron accumulation including in the brain. We have focused on the commonly occurring H63D variant of the HFE gene as a disease modifier in a number of neurodegenerative diseases. To investigate the role of H63D HFE genotype, we generated a mouse model in which the wild-type (WT) HFE gene is replaced by the H67D gene variant (mouse homolog of the human H63D gene variant). Using paraquat toxicity as the model for Parkinson's disease, we found that WT mice responded as expected with significantly greater motor function, loss of tyrosine hydroxylase staining and increase microglial staining in the substantia nigra, and an increase in R2 relaxation rate within the substantia nigra of the paraquat-treated mice compared to their saline-treated counterparts. In contrast, the H67D mice showed a remarkable resistance to paraquat treatment; specifically differing from the WT mice with no changes in motor function or changes in R2 relaxation rates following paraquat exposure. At baseline, there were differences between the H67D HFE mice and WT mice in gut microbiome profile and increased L-ferritin staining in the substantia nigra that could account for the resistance to paraquat. Of particular note, the H67D HFE mice regardless of whether or not they were treated with paraquat had significantly less tyrosine hydroxylase immunostaining than WT. Our results clearly demonstrate that the HFE genotype impacts the expression of tyrosine hydroxylase in the substantia nigra, the gut microbiome and the response to paraquat providing additional support that the HFE genotype is a disease modifier for Parkinson's disease. Moreover, the finding that the HFE mutant mice are resistant to paraquat may provide a model in which to study resistant mechanisms to neurotoxicants.","author":[{"dropping-particle":"","family":"Nixon","given":"Anne M.","non-dropping-particle":"","parse-names":false,"suffix":""},{"dropping-particle":"","family":"Meadowcroft","given":"Mark D.","non-dropping-particle":"","parse-names":false,"suffix":""},{"dropping-particle":"","family":"Neely","given":"Elizabeth B.","non-dropping-particle":"","parse-names":false,"suffix":""},{"dropping-particle":"","family":"Snyder","given":"Amanda M.","non-dropping-particle":"","parse-names":false,"suffix":""},{"dropping-particle":"","family":"Purnell","given":"Carson J.","non-dropping-particle":"","parse-names":false,"suffix":""},{"dropping-particle":"","family":"Wright","given":"Justin","non-dropping-particle":"","parse-names":false,"suffix":""},{"dropping-particle":"","family":"Lamendella","given":"Regina","non-dropping-particle":"","parse-names":false,"suffix":""},{"dropping-particle":"","family":"Nandar","given":"Wint","non-dropping-particle":"","parse-names":false,"suffix":""},{"dropping-particle":"","family":"Huang","given":"Xuemei","non-dropping-particle":"","parse-names":false,"suffix":""},{"dropping-particle":"","family":"Connor","given":"James R.","non-dropping-particle":"","parse-names":false,"suffix":""}],"container-title":"Journal of Neurochemistry","id":"ITEM-1","issue":"4","issued":{"date-parts":[["2018","5"]]},"page":"299-311","title":"HFE Genotype Restricts the Response to Paraquat in a Mouse Model of Neurotoxicity","type":"article-journal","volume":"145"},"uris":["http://www.mendeley.com/documents/?uuid=91d467f8-61d0-307b-b2d1-a0ac2aab117f"]}],"mendeley":{"formattedCitation":"(Nixon &lt;i&gt;et al.&lt;/i&gt; 2018)","plainTextFormattedCitation":"(Nixon et al. 2018)","previouslyFormattedCitation":"(Nixon &lt;i&gt;et al.&lt;/i&gt; 2018)"},"properties":{"noteIndex":0},"schema":"https://github.com/citation-style-language/schema/raw/master/csl-citation.json"}</w:instrText>
      </w:r>
      <w:r w:rsidR="00641479" w:rsidRPr="003131ED">
        <w:rPr>
          <w:rFonts w:eastAsia="Arial"/>
          <w:sz w:val="22"/>
          <w:szCs w:val="22"/>
        </w:rPr>
        <w:fldChar w:fldCharType="separate"/>
      </w:r>
      <w:r w:rsidR="00641479" w:rsidRPr="003131ED">
        <w:rPr>
          <w:rFonts w:eastAsia="Arial"/>
          <w:noProof/>
          <w:sz w:val="22"/>
          <w:szCs w:val="22"/>
        </w:rPr>
        <w:t xml:space="preserve">(Nixon </w:t>
      </w:r>
      <w:r w:rsidR="00641479" w:rsidRPr="003131ED">
        <w:rPr>
          <w:rFonts w:eastAsia="Arial"/>
          <w:i/>
          <w:noProof/>
          <w:sz w:val="22"/>
          <w:szCs w:val="22"/>
        </w:rPr>
        <w:t>et al.</w:t>
      </w:r>
      <w:r w:rsidR="00641479" w:rsidRPr="003131ED">
        <w:rPr>
          <w:rFonts w:eastAsia="Arial"/>
          <w:noProof/>
          <w:sz w:val="22"/>
          <w:szCs w:val="22"/>
        </w:rPr>
        <w:t xml:space="preserve"> 2018)</w:t>
      </w:r>
      <w:r w:rsidR="00641479" w:rsidRPr="003131ED">
        <w:rPr>
          <w:rFonts w:eastAsia="Arial"/>
          <w:sz w:val="22"/>
          <w:szCs w:val="22"/>
        </w:rPr>
        <w:fldChar w:fldCharType="end"/>
      </w:r>
      <w:r w:rsidR="00641479" w:rsidRPr="003131ED">
        <w:rPr>
          <w:rFonts w:eastAsia="Arial"/>
          <w:sz w:val="22"/>
          <w:szCs w:val="22"/>
        </w:rPr>
        <w:t xml:space="preserve">. </w:t>
      </w:r>
      <w:r w:rsidR="00D43AEA" w:rsidRPr="003131ED">
        <w:rPr>
          <w:rFonts w:eastAsia="Arial"/>
          <w:sz w:val="22"/>
          <w:szCs w:val="22"/>
        </w:rPr>
        <w:t xml:space="preserve">NRF2, a regulator of oxidative damage response, has also been shown to be elevated in H67D </w:t>
      </w:r>
      <w:r w:rsidR="00D43AEA" w:rsidRPr="003131ED">
        <w:rPr>
          <w:rFonts w:eastAsia="Arial"/>
          <w:i/>
          <w:sz w:val="22"/>
          <w:szCs w:val="22"/>
        </w:rPr>
        <w:t>Hfe</w:t>
      </w:r>
      <w:r w:rsidR="00D43AEA" w:rsidRPr="003131ED">
        <w:rPr>
          <w:rFonts w:eastAsia="Arial"/>
          <w:sz w:val="22"/>
          <w:szCs w:val="22"/>
        </w:rPr>
        <w:t xml:space="preserve"> mice</w:t>
      </w:r>
      <w:r w:rsidR="002E1629" w:rsidRPr="003131ED">
        <w:rPr>
          <w:rFonts w:eastAsia="Arial"/>
          <w:sz w:val="22"/>
          <w:szCs w:val="22"/>
        </w:rPr>
        <w:t xml:space="preserve"> </w:t>
      </w:r>
      <w:r w:rsidR="002E1629" w:rsidRPr="003131ED">
        <w:rPr>
          <w:rFonts w:eastAsia="Arial"/>
          <w:sz w:val="22"/>
          <w:szCs w:val="22"/>
        </w:rPr>
        <w:fldChar w:fldCharType="begin" w:fldLock="1"/>
      </w:r>
      <w:r w:rsidR="00931B4F" w:rsidRPr="003131ED">
        <w:rPr>
          <w:rFonts w:eastAsia="Arial"/>
          <w:sz w:val="22"/>
          <w:szCs w:val="22"/>
        </w:rPr>
        <w:instrText>ADDIN CSL_CITATION {"citationItems":[{"id":"ITEM-1","itemData":{"DOI":"10.1016/j.bbadis.2013.02.009","ISSN":"09254439","PMID":"23429074","abstract":"Because of the increasing evidence that H63D HFE polymorphism appears in higher frequency in neurodegenerative diseases, we evaluated the neurological consequences of H63D HFE in vivo using mice that carry H67D HFE (homologous to human H63D). Although total brain iron concentration did not change significantly in the H67D mice, brain iron management proteins expressions were altered significantly. The 6-month-old H67D mice had increased HFE and H-ferritin expression. At 12 months, H67D mice had increased H- and L-ferritin but decreased transferrin expression suggesting increased iron storage and decreased iron mobilization. Increased L-ferritin positive microglia in H67D mice suggests that microglia increase iron storage to maintain brain iron homeostasis. The 6-month-old H67D mice had increased levels of GFAP, increased oxidatively modified protein levels, and increased cystine/glutamate antiporter (xCT) and hemeoxygenase-1 (HO-1) expression indicating increased metabolic and oxidative stress. By 12 months, there was no longer increased astrogliosis or oxidative stress. The decrease in oxidative stress at 12 months could be related to an adaptive response by nuclear factor E2-related factor 2 (Nrf2) that regulates antioxidant enzymes expression and is increased in the H67D mice. These findings demonstrate that the H63D HFE impacts brain iron homeostasis, and promotes an environment of oxidative stress and induction of adaptive mechanisms. These data, along with literature reports on humans with HFE mutations provide the evidence to overturn the traditional paradigm that the brain is protected from HFE mutations. The H67D knock-in mouse can be used as a model to evaluate how the H63D HFE mutation contributes to neurodegenerative diseases.","author":[{"dropping-particle":"","family":"Nandar","given":"Wint","non-dropping-particle":"","parse-names":false,"suffix":""},{"dropping-particle":"","family":"Neely","given":"Elizabeth B.","non-dropping-particle":"","parse-names":false,"suffix":""},{"dropping-particle":"","family":"Unger","given":"Erica","non-dropping-particle":"","parse-names":false,"suffix":""},{"dropping-particle":"","family":"Connor","given":"James R.","non-dropping-particle":"","parse-names":false,"suffix":""}],"container-title":"Biochimica et Biophysica Acta (BBA) - Molecular Basis of Disease","id":"ITEM-1","issue":"6","issued":{"date-parts":[["2013","6"]]},"page":"729-741","title":"A mutation in the HFE gene is associated with altered brain iron profiles and increased oxidative stress in mice","type":"article-journal","volume":"1832"},"uris":["http://www.mendeley.com/documents/?uuid=364191a3-157f-3455-b064-9101e7d40246"]}],"mendeley":{"formattedCitation":"(Nandar &lt;i&gt;et al.&lt;/i&gt; 2013)","plainTextFormattedCitation":"(Nandar et al. 2013)","previouslyFormattedCitation":"(Nandar &lt;i&gt;et al.&lt;/i&gt; 2013)"},"properties":{"noteIndex":0},"schema":"https://github.com/citation-style-language/schema/raw/master/csl-citation.json"}</w:instrText>
      </w:r>
      <w:r w:rsidR="002E1629" w:rsidRPr="003131ED">
        <w:rPr>
          <w:rFonts w:eastAsia="Arial"/>
          <w:sz w:val="22"/>
          <w:szCs w:val="22"/>
        </w:rPr>
        <w:fldChar w:fldCharType="separate"/>
      </w:r>
      <w:r w:rsidR="00931B4F" w:rsidRPr="003131ED">
        <w:rPr>
          <w:rFonts w:eastAsia="Arial"/>
          <w:noProof/>
          <w:sz w:val="22"/>
          <w:szCs w:val="22"/>
        </w:rPr>
        <w:t xml:space="preserve">(Nandar </w:t>
      </w:r>
      <w:r w:rsidR="00931B4F" w:rsidRPr="003131ED">
        <w:rPr>
          <w:rFonts w:eastAsia="Arial"/>
          <w:i/>
          <w:noProof/>
          <w:sz w:val="22"/>
          <w:szCs w:val="22"/>
        </w:rPr>
        <w:t>et al.</w:t>
      </w:r>
      <w:r w:rsidR="00931B4F" w:rsidRPr="003131ED">
        <w:rPr>
          <w:rFonts w:eastAsia="Arial"/>
          <w:noProof/>
          <w:sz w:val="22"/>
          <w:szCs w:val="22"/>
        </w:rPr>
        <w:t xml:space="preserve"> 2013)</w:t>
      </w:r>
      <w:r w:rsidR="002E1629" w:rsidRPr="003131ED">
        <w:rPr>
          <w:rFonts w:eastAsia="Arial"/>
          <w:sz w:val="22"/>
          <w:szCs w:val="22"/>
        </w:rPr>
        <w:fldChar w:fldCharType="end"/>
      </w:r>
      <w:r w:rsidR="002E1629" w:rsidRPr="003131ED">
        <w:rPr>
          <w:rFonts w:eastAsia="Arial"/>
          <w:sz w:val="22"/>
          <w:szCs w:val="22"/>
        </w:rPr>
        <w:t xml:space="preserve">, indicating an elevated anti-oxidant response with the </w:t>
      </w:r>
      <w:r w:rsidR="002E1629" w:rsidRPr="003131ED">
        <w:rPr>
          <w:rFonts w:eastAsia="Arial"/>
          <w:i/>
          <w:sz w:val="22"/>
          <w:szCs w:val="22"/>
        </w:rPr>
        <w:t>HFE</w:t>
      </w:r>
      <w:r w:rsidR="002E1629" w:rsidRPr="003131ED">
        <w:rPr>
          <w:rFonts w:eastAsia="Arial"/>
          <w:sz w:val="22"/>
          <w:szCs w:val="22"/>
        </w:rPr>
        <w:t xml:space="preserve"> variant expression. The cellular pathophysiology of Parkinson’s disease involves intertwined pathways of mitochondrial oxidative damage and aggregated protein clearance. </w:t>
      </w:r>
      <w:r w:rsidR="00641479" w:rsidRPr="003131ED">
        <w:rPr>
          <w:rFonts w:eastAsia="Arial"/>
          <w:sz w:val="22"/>
          <w:szCs w:val="22"/>
        </w:rPr>
        <w:t xml:space="preserve">This current study adds to the growing literature showing the impact of </w:t>
      </w:r>
      <w:r w:rsidR="00641479" w:rsidRPr="003131ED">
        <w:rPr>
          <w:rFonts w:eastAsia="Arial"/>
          <w:i/>
          <w:sz w:val="22"/>
          <w:szCs w:val="22"/>
        </w:rPr>
        <w:t>HFE</w:t>
      </w:r>
      <w:r w:rsidR="00641479" w:rsidRPr="003131ED">
        <w:rPr>
          <w:rFonts w:eastAsia="Arial"/>
          <w:sz w:val="22"/>
          <w:szCs w:val="22"/>
        </w:rPr>
        <w:t xml:space="preserve"> variant </w:t>
      </w:r>
      <w:r w:rsidR="002E1629" w:rsidRPr="003131ED">
        <w:rPr>
          <w:rFonts w:eastAsia="Arial"/>
          <w:sz w:val="22"/>
          <w:szCs w:val="22"/>
        </w:rPr>
        <w:t>on multiple aspects of Parkinson’s disease pathology.</w:t>
      </w:r>
    </w:p>
    <w:p w14:paraId="244DBE61" w14:textId="77777777" w:rsidR="004132FC" w:rsidRPr="003131ED" w:rsidRDefault="004132FC" w:rsidP="00D0468C">
      <w:pPr>
        <w:spacing w:line="360" w:lineRule="auto"/>
        <w:jc w:val="both"/>
        <w:rPr>
          <w:rFonts w:eastAsia="Arial"/>
          <w:sz w:val="22"/>
          <w:szCs w:val="22"/>
        </w:rPr>
      </w:pPr>
    </w:p>
    <w:p w14:paraId="7D03ACDD" w14:textId="0C145961" w:rsidR="0042054F" w:rsidRPr="003131ED" w:rsidRDefault="0042054F" w:rsidP="0042054F">
      <w:pPr>
        <w:spacing w:line="360" w:lineRule="auto"/>
        <w:jc w:val="both"/>
        <w:rPr>
          <w:rFonts w:eastAsia="Arial"/>
          <w:sz w:val="22"/>
          <w:szCs w:val="22"/>
        </w:rPr>
      </w:pPr>
      <w:r w:rsidRPr="003131ED">
        <w:rPr>
          <w:rFonts w:eastAsia="Arial"/>
          <w:sz w:val="22"/>
          <w:szCs w:val="22"/>
        </w:rPr>
        <w:t xml:space="preserve">The relationship of iron and </w:t>
      </w:r>
      <w:r w:rsidRPr="003131ED">
        <w:rPr>
          <w:rFonts w:eastAsia="Arial"/>
          <w:sz w:val="22"/>
          <w:szCs w:val="22"/>
        </w:rPr>
        <w:sym w:font="Symbol" w:char="F061"/>
      </w:r>
      <w:r w:rsidRPr="003131ED">
        <w:rPr>
          <w:rFonts w:eastAsia="Arial"/>
          <w:sz w:val="22"/>
          <w:szCs w:val="22"/>
        </w:rPr>
        <w:t>-synuclein expression has been postulated as a direct molecular effect through</w:t>
      </w:r>
      <w:r w:rsidR="00B1601A" w:rsidRPr="003131ED">
        <w:rPr>
          <w:rFonts w:eastAsia="Arial"/>
          <w:sz w:val="22"/>
          <w:szCs w:val="22"/>
        </w:rPr>
        <w:t xml:space="preserve"> </w:t>
      </w:r>
      <w:r w:rsidRPr="003131ED">
        <w:rPr>
          <w:rFonts w:eastAsia="Arial"/>
          <w:sz w:val="22"/>
          <w:szCs w:val="22"/>
        </w:rPr>
        <w:t xml:space="preserve">a putative iron responsive element (IRE) in the 5’-UTR of </w:t>
      </w:r>
      <w:r w:rsidRPr="003131ED">
        <w:rPr>
          <w:rFonts w:eastAsia="Arial"/>
          <w:sz w:val="22"/>
          <w:szCs w:val="22"/>
        </w:rPr>
        <w:sym w:font="Symbol" w:char="F061"/>
      </w:r>
      <w:r w:rsidRPr="003131ED">
        <w:rPr>
          <w:rFonts w:eastAsia="Arial"/>
          <w:sz w:val="22"/>
          <w:szCs w:val="22"/>
        </w:rPr>
        <w:t xml:space="preserve">-synuclein mRNA that has sequence homology to that found in the mRNA for H- and L-ferritin </w:t>
      </w:r>
      <w:r w:rsidRPr="003131ED">
        <w:rPr>
          <w:rFonts w:eastAsia="Arial"/>
          <w:sz w:val="22"/>
          <w:szCs w:val="22"/>
        </w:rPr>
        <w:fldChar w:fldCharType="begin" w:fldLock="1"/>
      </w:r>
      <w:r w:rsidR="00D86B9A" w:rsidRPr="003131ED">
        <w:rPr>
          <w:rFonts w:eastAsia="Arial"/>
          <w:sz w:val="22"/>
          <w:szCs w:val="22"/>
        </w:rPr>
        <w:instrText>ADDIN CSL_CITATION {"citationItems":[{"id":"ITEM-1","itemData":{"DOI":"10.1097/WNR.0b013e328354a1f0","ISBN":"0959-4965","ISSN":"0959-4965","PMID":"22581044","abstract":"Several studies have suggested an interaction between α-synuclein protein and iron in Parkinson's disease. The presence of iron together with α-synuclein in Lewy bodies, the increase of iron in the substantia nigra and the correlation between polymorphism of the several genes implicated in iron metabolism and Parkinson's disease, support a role for iron in the neurodegeneration. Analysis of post mortem brains revealed increased amount of insoluble α-synuclein protein despite unchanged/reduced levels of α-synuclein mRNA in Parkinson's disease. Interestingly, on the basis of the presence of a putative iron responsive element in the 5'-UTR, it has been suggested that there is a possible iron-dependent translational control of human α-synuclein mRNA. Considering the similarity between the sequences present in human α-synuclein mRNA and the ferritin iron responsive element, we postulated that iron deficiency would decrease the translation of α-synuclein mRNA. Here we used HEK293 cells treated with iron chelator deferoxamine or ferric ammonium citrate to verify the possible iron-dependent translational control of human α-synuclein biosynthesis. We show that the amount of polysome-associated endogenous human α-synuclein mRNA decreases in presence of deferoxamine. Our data demonstrate that human α-synuclein expression is regulated by iron mainly at the translational level. This result not only supports a role for iron in the translational control of α-synuclein expression, but also suggests that iron chelation may be a valid approach to control α-synuclein levels in the brain.","author":[{"dropping-particle":"","family":"Febbraro","given":"Fabia","non-dropping-particle":"","parse-names":false,"suffix":""},{"dropping-particle":"","family":"Giorgi","given":"Marcello","non-dropping-particle":"","parse-names":false,"suffix":""},{"dropping-particle":"","family":"Caldarola","given":"Sara","non-dropping-particle":"","parse-names":false,"suffix":""},{"dropping-particle":"","family":"Loreni","given":"Fabrizio","non-dropping-particle":"","parse-names":false,"suffix":""},{"dropping-particle":"","family":"Romero-Ramos","given":"Marina","non-dropping-particle":"","parse-names":false,"suffix":""}],"container-title":"NeuroReport","id":"ITEM-1","issue":"9","issued":{"date-parts":[["2012","6","20"]]},"page":"576-580","title":"α-Synuclein expression is modulated at the translational level by iron","type":"article-journal","volume":"23"},"uris":["http://www.mendeley.com/documents/?uuid=921b53f7-2ccd-4982-ac3a-5d4362afc4fb"]},{"id":"ITEM-2","itemData":{"DOI":"10.1038/sj.mp.4001937","ISBN":"1359-4184 (Print)","ISSN":"1359-4184","PMID":"17325711","abstract":"Molecular Psychiatry publishes work aimed at elucidating biological mechanisms underlying psychiatric disorders and their treatment","author":[{"dropping-particle":"","family":"Friedlich","given":"A L","non-dropping-particle":"","parse-names":false,"suffix":""},{"dropping-particle":"","family":"Tanzi","given":"R E","non-dropping-particle":"","parse-names":false,"suffix":""},{"dropping-particle":"","family":"Rogers","given":"J T","non-dropping-particle":"","parse-names":false,"suffix":""}],"container-title":"Molecular psychiatry","id":"ITEM-2","issue":"3","issued":{"date-parts":[["2007"]]},"note":"IRE in the 5'-UTR of mRNA encoding alpha synuclein --&amp;gt; possibly indication of regulation of alpha synuclein protein production in response to cellular iron and redox events\n\nStructural homology of 5'-UTR loop between alpha synuclein, L-ferritin, ferroportin, erythroid 5-aminolevulinate (eALAS), and mitochondrial aconitase \n\n--&amp;gt; This homology is NOT seen in beta and gamma synuclein","page":"222-223","title":"The 5'-untranslated region of Parkinson's disease alpha-synuclein messengerRNA contains a predicted iron responsive element.","type":"article-journal","volume":"12"},"uris":["http://www.mendeley.com/documents/?uuid=1a536525-8505-4ddb-81c7-648878378bef"]}],"mendeley":{"formattedCitation":"(Febbraro &lt;i&gt;et al.&lt;/i&gt; 2012; Friedlich &lt;i&gt;et al.&lt;/i&gt; 2007)","plainTextFormattedCitation":"(Febbraro et al. 2012; Friedlich et al. 2007)","previouslyFormattedCitation":"(Febbraro &lt;i&gt;et al.&lt;/i&gt; 2012; Friedlich &lt;i&gt;et al.&lt;/i&gt; 2007)"},"properties":{"noteIndex":0},"schema":"https://github.com/citation-style-language/schema/raw/master/csl-citation.json"}</w:instrText>
      </w:r>
      <w:r w:rsidRPr="003131ED">
        <w:rPr>
          <w:rFonts w:eastAsia="Arial"/>
          <w:sz w:val="22"/>
          <w:szCs w:val="22"/>
        </w:rPr>
        <w:fldChar w:fldCharType="separate"/>
      </w:r>
      <w:r w:rsidR="00D86B9A" w:rsidRPr="003131ED">
        <w:rPr>
          <w:rFonts w:eastAsia="Arial"/>
          <w:noProof/>
          <w:sz w:val="22"/>
          <w:szCs w:val="22"/>
        </w:rPr>
        <w:t xml:space="preserve">(Febbraro </w:t>
      </w:r>
      <w:r w:rsidR="00D86B9A" w:rsidRPr="003131ED">
        <w:rPr>
          <w:rFonts w:eastAsia="Arial"/>
          <w:i/>
          <w:noProof/>
          <w:sz w:val="22"/>
          <w:szCs w:val="22"/>
        </w:rPr>
        <w:t>et al.</w:t>
      </w:r>
      <w:r w:rsidR="00D86B9A" w:rsidRPr="003131ED">
        <w:rPr>
          <w:rFonts w:eastAsia="Arial"/>
          <w:noProof/>
          <w:sz w:val="22"/>
          <w:szCs w:val="22"/>
        </w:rPr>
        <w:t xml:space="preserve"> 2012; Friedlich </w:t>
      </w:r>
      <w:r w:rsidR="00D86B9A" w:rsidRPr="003131ED">
        <w:rPr>
          <w:rFonts w:eastAsia="Arial"/>
          <w:i/>
          <w:noProof/>
          <w:sz w:val="22"/>
          <w:szCs w:val="22"/>
        </w:rPr>
        <w:t>et al.</w:t>
      </w:r>
      <w:r w:rsidR="00D86B9A" w:rsidRPr="003131ED">
        <w:rPr>
          <w:rFonts w:eastAsia="Arial"/>
          <w:noProof/>
          <w:sz w:val="22"/>
          <w:szCs w:val="22"/>
        </w:rPr>
        <w:t xml:space="preserve"> 2007)</w:t>
      </w:r>
      <w:r w:rsidRPr="003131ED">
        <w:rPr>
          <w:rFonts w:eastAsia="Arial"/>
          <w:sz w:val="22"/>
          <w:szCs w:val="22"/>
        </w:rPr>
        <w:fldChar w:fldCharType="end"/>
      </w:r>
      <w:r w:rsidRPr="003131ED">
        <w:rPr>
          <w:rFonts w:eastAsia="Arial"/>
          <w:sz w:val="22"/>
          <w:szCs w:val="22"/>
        </w:rPr>
        <w:t xml:space="preserve">. The release of IRE binding protein (IRP) from IRE in iron-replete conditions allows for increased ribosome binding of the mRNA and translation </w:t>
      </w:r>
      <w:r w:rsidRPr="003131ED">
        <w:rPr>
          <w:rFonts w:eastAsia="Arial"/>
          <w:sz w:val="22"/>
          <w:szCs w:val="22"/>
        </w:rPr>
        <w:fldChar w:fldCharType="begin" w:fldLock="1"/>
      </w:r>
      <w:r w:rsidR="00D86B9A" w:rsidRPr="003131ED">
        <w:rPr>
          <w:rFonts w:eastAsia="Arial"/>
          <w:sz w:val="22"/>
          <w:szCs w:val="22"/>
        </w:rPr>
        <w:instrText>ADDIN CSL_CITATION {"citationItems":[{"id":"ITEM-1","itemData":{"DOI":"10.1196/annals.1306.001","ISSN":"00778923","PMID":"15105251","abstract":"Cellular iron homeostasis is accomplished by the coordinated regulated expression of the transferrin receptor and ferritin, which mediate iron uptake and storage, respectively. The mechanism is posttranscriptional and involves two cytoplasmic iron regulatory proteins, IRP1 and IRP2. Under conditions of iron starvation, IRPs stabilize the transferrin receptor and inhibit the translation of ferritin mRNAs by binding to \"iron responsive elements\" (IREs) within their untranslated regions. The IRE/IRP system also controls the expression of additional IRE-containlng mRNAs, encoding proteins of iron and energy metabolism. The activities of IRP1 and IRP2 are regulated by distinct posttranslational mechanisms in response to cellular iron levels. Thus, in iron-replete cells, IRP1 assembles a cubane iron-sulfur cluster, which prevents IRE binding, while IRP2 undergoes proteasomal degradation. IRP1 and IRP2 also respond, albeit differentially, to iron-independent signals, such as hydrogen peroxide, hypoxia, or nitric oxide. Basic principles of the IRE/IRP system and recent advances in understanding the regulation and the function of IRP1 and IRP2 are discussed.","author":[{"dropping-particle":"","family":"Pantopoulos","given":"Kostas","non-dropping-particle":"","parse-names":false,"suffix":""}],"container-title":"Annals of the New York Academy of Sciences","id":"ITEM-1","issued":{"date-parts":[["2004"]]},"page":"1-13","publisher":"New York Academy of Sciences","title":"Iron metabolism and the IRE/IRP regulatory system: An update","type":"article","volume":"1012"},"uris":["http://www.mendeley.com/documents/?uuid=8d2dd3f7-0876-3ec7-a6ee-9f69faa3e8e6"]}],"mendeley":{"formattedCitation":"(Pantopoulos 2004)","plainTextFormattedCitation":"(Pantopoulos 2004)","previouslyFormattedCitation":"(Pantopoulos 2004)"},"properties":{"noteIndex":0},"schema":"https://github.com/citation-style-language/schema/raw/master/csl-citation.json"}</w:instrText>
      </w:r>
      <w:r w:rsidRPr="003131ED">
        <w:rPr>
          <w:rFonts w:eastAsia="Arial"/>
          <w:sz w:val="22"/>
          <w:szCs w:val="22"/>
        </w:rPr>
        <w:fldChar w:fldCharType="separate"/>
      </w:r>
      <w:r w:rsidR="00D86B9A" w:rsidRPr="003131ED">
        <w:rPr>
          <w:rFonts w:eastAsia="Arial"/>
          <w:noProof/>
          <w:sz w:val="22"/>
          <w:szCs w:val="22"/>
        </w:rPr>
        <w:t>(Pantopoulos 2004)</w:t>
      </w:r>
      <w:r w:rsidRPr="003131ED">
        <w:rPr>
          <w:rFonts w:eastAsia="Arial"/>
          <w:sz w:val="22"/>
          <w:szCs w:val="22"/>
        </w:rPr>
        <w:fldChar w:fldCharType="end"/>
      </w:r>
      <w:r w:rsidRPr="003131ED">
        <w:rPr>
          <w:rFonts w:eastAsia="Arial"/>
          <w:sz w:val="22"/>
          <w:szCs w:val="22"/>
        </w:rPr>
        <w:t xml:space="preserve">. The putative IRE has been used to explain why multiple studies have observed increased </w:t>
      </w:r>
      <w:r w:rsidRPr="003131ED">
        <w:rPr>
          <w:rFonts w:eastAsia="Arial"/>
          <w:sz w:val="22"/>
          <w:szCs w:val="22"/>
        </w:rPr>
        <w:sym w:font="Symbol" w:char="F061"/>
      </w:r>
      <w:r w:rsidRPr="003131ED">
        <w:rPr>
          <w:rFonts w:eastAsia="Arial"/>
          <w:sz w:val="22"/>
          <w:szCs w:val="22"/>
        </w:rPr>
        <w:t xml:space="preserve">-synuclein levels with exogenous iron treatment </w:t>
      </w:r>
      <w:r w:rsidRPr="003131ED">
        <w:rPr>
          <w:rFonts w:eastAsia="Arial"/>
          <w:sz w:val="22"/>
          <w:szCs w:val="22"/>
        </w:rPr>
        <w:fldChar w:fldCharType="begin" w:fldLock="1"/>
      </w:r>
      <w:r w:rsidR="00D86B9A" w:rsidRPr="003131ED">
        <w:rPr>
          <w:rFonts w:eastAsia="Arial"/>
          <w:sz w:val="22"/>
          <w:szCs w:val="22"/>
        </w:rPr>
        <w:instrText>ADDIN CSL_CITATION {"citationItems":[{"id":"ITEM-1","itemData":{"DOI":"10.1111/jnc.14312","ISSN":"00223042","PMID":"29364516","abstract":"Recent studies have strongly shown that cell-to-cell transmission of neuropathogenic proteins is a common mechanism for the development of neurodegenerative diseases. However, the underlying cause is complex and little is known. Although distinct processes are involved in the pathogenesis of various diseases, they all share the common feature of iron accumulation, an attribute that is particularly prominent in synucleinopathies. However, whether iron is a cofactor in facilitating the spread of α-synuclein remains unclear. Here, we constructed a cell-to-cell transmission model of α-synuclein using SN4741 cell line based on adenovirus vectors. Cells were treated with FeCl2, and α-synuclein aggregation and transmission were then evaluated. In addition, the possible mechanisms were investigated through gene knockdown or over-expression. Our results demonstrated that iron promoted α-synuclein aggregation and transmission by inhibiting autophagosome-lysosome fusion. Furthermore, iron decreased the expression of nuclear transcription factor EB (TFEB), a master transcriptional regulator of autophagosome-lysosome fusion, and inhibited its nuclear translocation through activating AKT/mTORC1 signaling. After silencing TFEB, ratios of α-synuclein aggregation and transmission were not significantly altered by the presence of iron; on the other hand, when TFEB was over-expressed, the transmission of α-synuclein induced by iron was obviously reversed; suggesting the mechanism by which iron promotes α-synuclein transmission may be mediated by TFEB. Taken together, our data reveal a previously unknown relationship between iron and α-synuclein, and identify TFEB as not only a potential target for preventing α-synuclein transmission, but also a critical factor for iron-induced α-synuclein aggregation and transmission. Indeed, this newly discovered role of iron and TFEB in synucleinopathies may provide novel targets for developing therapeutic strategies to prevent α-synuclein transmission in Parkinson's disease.","author":[{"dropping-particle":"","family":"Xiao","given":"Yousheng","non-dropping-particle":"","parse-names":false,"suffix":""},{"dropping-particle":"","family":"Chen","given":"Xiang","non-dropping-particle":"","parse-names":false,"suffix":""},{"dropping-particle":"","family":"Huang","given":"Shuxuan","non-dropping-particle":"","parse-names":false,"suffix":""},{"dropping-particle":"","family":"Li","given":"Guihua","non-dropping-particle":"","parse-names":false,"suffix":""},{"dropping-particle":"","family":"Mo","given":"Mingshu","non-dropping-particle":"","parse-names":false,"suffix":""},{"dropping-particle":"","family":"Zhang","given":"Li","non-dropping-particle":"","parse-names":false,"suffix":""},{"dropping-particle":"","family":"Chen","given":"Chaojun","non-dropping-particle":"","parse-names":false,"suffix":""},{"dropping-particle":"","family":"Guo","given":"Wenyuan","non-dropping-particle":"","parse-names":false,"suffix":""},{"dropping-particle":"","family":"Zhou","given":"Miaomiao","non-dropping-particle":"","parse-names":false,"suffix":""},{"dropping-particle":"","family":"Wu","given":"Zhuohua","non-dropping-particle":"","parse-names":false,"suffix":""},{"dropping-particle":"","family":"Cen","given":"Luan","non-dropping-particle":"","parse-names":false,"suffix":""},{"dropping-particle":"","family":"Long","given":"Simei","non-dropping-particle":"","parse-names":false,"suffix":""},{"dropping-particle":"","family":"Li","given":"Shaomin","non-dropping-particle":"","parse-names":false,"suffix":""},{"dropping-particle":"","family":"Yang","given":"Xinling","non-dropping-particle":"","parse-names":false,"suffix":""},{"dropping-particle":"","family":"Qu","given":"Shaogang","non-dropping-particle":"","parse-names":false,"suffix":""},{"dropping-particle":"","family":"Pei","given":"Zhong","non-dropping-particle":"","parse-names":false,"suffix":""},{"dropping-particle":"","family":"Xu","given":"Pingyi","non-dropping-particle":"","parse-names":false,"suffix":""}],"container-title":"Journal of Neurochemistry","id":"ITEM-1","issue":"1","issued":{"date-parts":[["2018","4"]]},"page":"34-50","title":"Iron promotes α-synuclein aggregation and transmission by inhibiting TFEB-mediated autophagosome-lysosome fusion","type":"article-journal","volume":"145"},"uris":["http://www.mendeley.com/documents/?uuid=5961c2b8-2072-364a-a538-2943e9ef174f"]},{"id":"ITEM-2","itemData":{"DOI":"10.1038/s41598-019-45298-6","ISSN":"20452322","abstract":"Parkinson’s disease (PD) represents an increasing problem in society. The oligomerization of alpha-synuclein (αSyn) is a suggested key event in its pathogenesis, yet the pathological modes of action remain to be fully elucidated. To identify potential disease-modifying therapeutics and to study αSyn-mediated toxic mechanisms, we established cell lines with inducible overexpression of different αSyn constructs: αSyn, αSyn coupled to the fluorescence protein Venus (αSyn-Venus), and αSyn coupled to the N-terminal or C-terminal part of Venus (V1S and SV2, respectively) for a bimolecular fluorescence complementation assay (BiFC). Inducibility was achieved by applying modified GAL4-UAS or Cre-loxP systems and addition of tebufenozide or 4-OH-tamoxifen, respectively. Expression constructs were stably integrated into the host genome of H4 neuroglioma cells by lentiviral transduction. We here demonstrate a detailed investigation of the expression characteristics of inducible H4 cells showing low background expression and high inducibility. We observed increased protein load and aggregation of αSyn upon incubation with DMSO and FeCl3 along with an increase in cytotoxicity. In summary, we present a system for the creation of inducibly αSyn-overexpressing cell lines holding high potential for the screening for modulators of αSyn aggregation and αSyn-mediated toxicity.","author":[{"dropping-particle":"","family":"Bartels","given":"Martin","non-dropping-particle":"","parse-names":false,"suffix":""},{"dropping-particle":"","family":"Weckbecker","given":"Daniel","non-dropping-particle":"","parse-names":false,"suffix":""},{"dropping-particle":"","family":"Kuhn","given":"Peer Hendrik","non-dropping-particle":"","parse-names":false,"suffix":""},{"dropping-particle":"","family":"Ryazanov","given":"Sergey","non-dropping-particle":"","parse-names":false,"suffix":""},{"dropping-particle":"","family":"Leonov","given":"Andrei","non-dropping-particle":"","parse-names":false,"suffix":""},{"dropping-particle":"","family":"Griesinger","given":"Christian","non-dropping-particle":"","parse-names":false,"suffix":""},{"dropping-particle":"","family":"Lichtenthaler","given":"Stefan F.","non-dropping-particle":"","parse-names":false,"suffix":""},{"dropping-particle":"","family":"Bötzel","given":"Kai","non-dropping-particle":"","parse-names":false,"suffix":""},{"dropping-particle":"","family":"Giese","given":"Armin","non-dropping-particle":"","parse-names":false,"suffix":""}],"container-title":"Scientific Reports","id":"ITEM-2","issue":"1","issued":{"date-parts":[["2019","12","1"]]},"publisher":"Nature Publishing Group","title":"Iron-mediated aggregation and toxicity in a novel neuronal cell culture model with inducible alpha-synuclein expression","type":"article-journal","volume":"9"},"uris":["http://www.mendeley.com/documents/?uuid=18354e30-7f9e-3fd7-b5ec-8e0445e67c31"]}],"mendeley":{"formattedCitation":"(Xiao &lt;i&gt;et al.&lt;/i&gt; 2018; Bartels &lt;i&gt;et al.&lt;/i&gt; 2019)","plainTextFormattedCitation":"(Xiao et al. 2018; Bartels et al. 2019)","previouslyFormattedCitation":"(Xiao &lt;i&gt;et al.&lt;/i&gt; 2018; Bartels &lt;i&gt;et al.&lt;/i&gt; 2019)"},"properties":{"noteIndex":0},"schema":"https://github.com/citation-style-language/schema/raw/master/csl-citation.json"}</w:instrText>
      </w:r>
      <w:r w:rsidRPr="003131ED">
        <w:rPr>
          <w:rFonts w:eastAsia="Arial"/>
          <w:sz w:val="22"/>
          <w:szCs w:val="22"/>
        </w:rPr>
        <w:fldChar w:fldCharType="separate"/>
      </w:r>
      <w:r w:rsidR="00D86B9A" w:rsidRPr="003131ED">
        <w:rPr>
          <w:rFonts w:eastAsia="Arial"/>
          <w:noProof/>
          <w:sz w:val="22"/>
          <w:szCs w:val="22"/>
        </w:rPr>
        <w:t xml:space="preserve">(Xiao </w:t>
      </w:r>
      <w:r w:rsidR="00D86B9A" w:rsidRPr="003131ED">
        <w:rPr>
          <w:rFonts w:eastAsia="Arial"/>
          <w:i/>
          <w:noProof/>
          <w:sz w:val="22"/>
          <w:szCs w:val="22"/>
        </w:rPr>
        <w:t>et al.</w:t>
      </w:r>
      <w:r w:rsidR="00D86B9A" w:rsidRPr="003131ED">
        <w:rPr>
          <w:rFonts w:eastAsia="Arial"/>
          <w:noProof/>
          <w:sz w:val="22"/>
          <w:szCs w:val="22"/>
        </w:rPr>
        <w:t xml:space="preserve"> 2018; Bartels </w:t>
      </w:r>
      <w:r w:rsidR="00D86B9A" w:rsidRPr="003131ED">
        <w:rPr>
          <w:rFonts w:eastAsia="Arial"/>
          <w:i/>
          <w:noProof/>
          <w:sz w:val="22"/>
          <w:szCs w:val="22"/>
        </w:rPr>
        <w:t>et al.</w:t>
      </w:r>
      <w:r w:rsidR="00D86B9A" w:rsidRPr="003131ED">
        <w:rPr>
          <w:rFonts w:eastAsia="Arial"/>
          <w:noProof/>
          <w:sz w:val="22"/>
          <w:szCs w:val="22"/>
        </w:rPr>
        <w:t xml:space="preserve"> 2019)</w:t>
      </w:r>
      <w:r w:rsidRPr="003131ED">
        <w:rPr>
          <w:rFonts w:eastAsia="Arial"/>
          <w:sz w:val="22"/>
          <w:szCs w:val="22"/>
        </w:rPr>
        <w:fldChar w:fldCharType="end"/>
      </w:r>
      <w:r w:rsidRPr="003131ED">
        <w:rPr>
          <w:rFonts w:eastAsia="Arial"/>
          <w:sz w:val="22"/>
          <w:szCs w:val="22"/>
        </w:rPr>
        <w:t xml:space="preserve">, but studies using the yeast three hybrid system </w:t>
      </w:r>
      <w:r w:rsidR="00E2705D" w:rsidRPr="003131ED">
        <w:rPr>
          <w:rFonts w:eastAsia="Arial"/>
          <w:sz w:val="22"/>
          <w:szCs w:val="22"/>
        </w:rPr>
        <w:t xml:space="preserve">and IRP pull down have not </w:t>
      </w:r>
      <w:r w:rsidRPr="003131ED">
        <w:rPr>
          <w:rFonts w:eastAsia="Arial"/>
          <w:sz w:val="22"/>
          <w:szCs w:val="22"/>
        </w:rPr>
        <w:t>detect</w:t>
      </w:r>
      <w:r w:rsidR="00E2705D" w:rsidRPr="003131ED">
        <w:rPr>
          <w:rFonts w:eastAsia="Arial"/>
          <w:sz w:val="22"/>
          <w:szCs w:val="22"/>
        </w:rPr>
        <w:t>ed</w:t>
      </w:r>
      <w:r w:rsidRPr="003131ED">
        <w:rPr>
          <w:rFonts w:eastAsia="Arial"/>
          <w:sz w:val="22"/>
          <w:szCs w:val="22"/>
        </w:rPr>
        <w:t xml:space="preserve"> binding of IRPs to the </w:t>
      </w:r>
      <w:r w:rsidR="00E2705D" w:rsidRPr="003131ED">
        <w:rPr>
          <w:rFonts w:eastAsia="Arial"/>
          <w:sz w:val="22"/>
          <w:szCs w:val="22"/>
        </w:rPr>
        <w:sym w:font="Symbol" w:char="F061"/>
      </w:r>
      <w:r w:rsidR="00E2705D" w:rsidRPr="003131ED">
        <w:rPr>
          <w:rFonts w:eastAsia="Arial"/>
          <w:sz w:val="22"/>
          <w:szCs w:val="22"/>
        </w:rPr>
        <w:t xml:space="preserve">-synuclein </w:t>
      </w:r>
      <w:r w:rsidRPr="003131ED">
        <w:rPr>
          <w:rFonts w:eastAsia="Arial"/>
          <w:sz w:val="22"/>
          <w:szCs w:val="22"/>
        </w:rPr>
        <w:t xml:space="preserve">IRE </w:t>
      </w:r>
      <w:r w:rsidRPr="003131ED">
        <w:rPr>
          <w:rFonts w:eastAsia="Arial"/>
          <w:sz w:val="22"/>
          <w:szCs w:val="22"/>
        </w:rPr>
        <w:fldChar w:fldCharType="begin" w:fldLock="1"/>
      </w:r>
      <w:r w:rsidR="002E1629" w:rsidRPr="003131ED">
        <w:rPr>
          <w:rFonts w:eastAsia="Arial"/>
          <w:sz w:val="22"/>
          <w:szCs w:val="22"/>
        </w:rPr>
        <w:instrText>ADDIN CSL_CITATION {"citationItems":[{"id":"ITEM-1","itemData":{"DOI":"10.1016/j.gene.2019.06.012","ISSN":"1879-0038","PMID":"31200088","abstract":"Iron-responsive elements (IREs) are ~35-nucleotide (nt) stem-loop RNA structures located in 5' or 3' untranslated regions (UTRs) of mRNAs that mediate post-transcriptional regulation by their association with IRE-binding proteins (IRPs). IREs are characterized by their apical 6-nt loop motif 5'-CAGWGH-3' (W = A or U and H = A, C or U), the so-called pseudotriloop, of which the loop nts C1 and G5 are paired, and the none-paired C between the two stem regions. In this study, the yeast three-hybrid (Y3H) system was used to investigate the relevance of the pseudotriloop structure of ferritin light chain (FTL) for the IRE-IRP interaction and the binding affinities between variant IRE(-like) structures and the two IRP isoforms, IRP1 and 2. Destabilization of the pseudotriloop structure by a G5-to-A mutation reduced binding of IRP1 and 2, while restoring the pseudotriloop conformation by the compensatory C1-to-U mutation, restored binding to both IRPs. In particular, IRP1 showed even stronger binding to the C1U-G5A mutant than to the wildtype FTL IRE. On the other hand, deletion of the bulged-out U6 of the pseudotriloop did not significantly affect its binding to either IRP1 or 2, but substitution with C particularly enhanced the binding to IRP1. In comparison to FTL IRE, IRE-like structures of 5'-aminolevulinate synthase 2 (ALAS2) and SLC40A1 (also known as ferroportin-1) showed similar or, in the case of endothelial PAS domain protein 1 (EPAS1) IRE, slightly weaker binding affinity to IRPs. SLC11A2 (a.k.a. divalent metal transporter-1) IRE exhibited relatively weak binding to IRP1 and medium binding to IRP2. Notably, the IRE-like structure of α-synuclein showed no detectable binding to either IRP under the conditions used in this Y3H assay. Our results indicate that Y3H can be used to characterize binding between IRPs and various IRE-like structures in vivo.","author":[{"dropping-particle":"","family":"Chen","given":"Shih-Cheng","non-dropping-particle":"","parse-names":false,"suffix":""},{"dropping-particle":"","family":"Olsthoorn","given":"René C L","non-dropping-particle":"","parse-names":false,"suffix":""}],"container-title":"Gene","id":"ITEM-1","issued":{"date-parts":[["2019","8","20"]]},"page":"399-405","title":"Relevance of the iron-responsive element (IRE) pseudotriloop structure for IRP1/2 binding and validation of IRE-like structures using the yeast three-hybrid system.","type":"article-journal","volume":"710"},"uris":["http://www.mendeley.com/documents/?uuid=febf9aa2-07fa-3493-bea4-0ce7461f82c2"]},{"id":"ITEM-2","itemData":{"DOI":"10.1098/rsob.160022","ISSN":"2046-2441","PMID":"27248657","author":[{"dropping-particle":"","family":"Koukouraki","given":"Pelagia","non-dropping-particle":"","parse-names":false,"suffix":""},{"dropping-particle":"","family":"Doxakis","given":"Epaminondas","non-dropping-particle":"","parse-names":false,"suffix":""}],"container-title":"Open Biology","id":"ITEM-2","issued":{"date-parts":[["2016"]]},"title":"Constitutive translation of human α-synuclein is mediated by the 5'-untranslated region","type":"article-journal"},"uris":["http://www.mendeley.com/documents/?uuid=00433c9b-f561-4e49-9f9c-d6bfea7f2d06"]}],"mendeley":{"formattedCitation":"(Chen and Olsthoorn 2019; Koukouraki and Doxakis 2016)","plainTextFormattedCitation":"(Chen and Olsthoorn 2019; Koukouraki and Doxakis 2016)","previouslyFormattedCitation":"(Chen and Olsthoorn 2019; Koukouraki and Doxakis 2016)"},"properties":{"noteIndex":0},"schema":"https://github.com/citation-style-language/schema/raw/master/csl-citation.json"}</w:instrText>
      </w:r>
      <w:r w:rsidRPr="003131ED">
        <w:rPr>
          <w:rFonts w:eastAsia="Arial"/>
          <w:sz w:val="22"/>
          <w:szCs w:val="22"/>
        </w:rPr>
        <w:fldChar w:fldCharType="separate"/>
      </w:r>
      <w:r w:rsidR="00E2705D" w:rsidRPr="003131ED">
        <w:rPr>
          <w:rFonts w:eastAsia="Arial"/>
          <w:noProof/>
          <w:sz w:val="22"/>
          <w:szCs w:val="22"/>
        </w:rPr>
        <w:t>(Chen and Olsthoorn 2019; Koukouraki and Doxakis 2016)</w:t>
      </w:r>
      <w:r w:rsidRPr="003131ED">
        <w:rPr>
          <w:rFonts w:eastAsia="Arial"/>
          <w:sz w:val="22"/>
          <w:szCs w:val="22"/>
        </w:rPr>
        <w:fldChar w:fldCharType="end"/>
      </w:r>
      <w:r w:rsidRPr="003131ED">
        <w:rPr>
          <w:rFonts w:eastAsia="Arial"/>
          <w:sz w:val="22"/>
          <w:szCs w:val="22"/>
        </w:rPr>
        <w:t>.</w:t>
      </w:r>
      <w:r w:rsidR="00E2705D" w:rsidRPr="003131ED">
        <w:rPr>
          <w:rFonts w:eastAsia="Arial"/>
          <w:sz w:val="22"/>
          <w:szCs w:val="22"/>
        </w:rPr>
        <w:t xml:space="preserve"> </w:t>
      </w:r>
      <w:r w:rsidRPr="003131ED">
        <w:rPr>
          <w:rFonts w:eastAsia="Arial"/>
          <w:sz w:val="22"/>
          <w:szCs w:val="22"/>
        </w:rPr>
        <w:t xml:space="preserve">Herein we report that H63D </w:t>
      </w:r>
      <w:r w:rsidRPr="003131ED">
        <w:rPr>
          <w:rFonts w:eastAsia="Arial"/>
          <w:i/>
          <w:sz w:val="22"/>
          <w:szCs w:val="22"/>
        </w:rPr>
        <w:t>HFE</w:t>
      </w:r>
      <w:r w:rsidRPr="003131ED">
        <w:rPr>
          <w:rFonts w:eastAsia="Arial"/>
          <w:sz w:val="22"/>
          <w:szCs w:val="22"/>
        </w:rPr>
        <w:t xml:space="preserve"> expressing cells in which the mutation is associated </w:t>
      </w:r>
      <w:r w:rsidRPr="003131ED">
        <w:rPr>
          <w:rFonts w:eastAsia="Arial"/>
          <w:sz w:val="22"/>
          <w:szCs w:val="22"/>
        </w:rPr>
        <w:lastRenderedPageBreak/>
        <w:t xml:space="preserve">with increased labile iron and a functioning IRE-IRP system, as </w:t>
      </w:r>
      <w:r w:rsidR="0057314F" w:rsidRPr="003131ED">
        <w:rPr>
          <w:rFonts w:eastAsia="Arial"/>
          <w:sz w:val="22"/>
          <w:szCs w:val="22"/>
        </w:rPr>
        <w:t>indicated</w:t>
      </w:r>
      <w:r w:rsidRPr="003131ED">
        <w:rPr>
          <w:rFonts w:eastAsia="Arial"/>
          <w:sz w:val="22"/>
          <w:szCs w:val="22"/>
        </w:rPr>
        <w:t xml:space="preserve"> by the induction of H-ferritin expression, </w:t>
      </w:r>
      <w:r w:rsidRPr="003131ED">
        <w:rPr>
          <w:rFonts w:eastAsia="Arial"/>
          <w:sz w:val="22"/>
          <w:szCs w:val="22"/>
        </w:rPr>
        <w:sym w:font="Symbol" w:char="F061"/>
      </w:r>
      <w:r w:rsidRPr="003131ED">
        <w:rPr>
          <w:rFonts w:eastAsia="Arial"/>
          <w:sz w:val="22"/>
          <w:szCs w:val="22"/>
        </w:rPr>
        <w:t xml:space="preserve">-synuclein expression level is decreased. A functional IRE/IRP in the 5’ UTR would have been expected to be associated with an increase expression of </w:t>
      </w:r>
      <w:r w:rsidRPr="003131ED">
        <w:rPr>
          <w:rFonts w:eastAsia="Arial"/>
          <w:sz w:val="22"/>
          <w:szCs w:val="22"/>
        </w:rPr>
        <w:sym w:font="Symbol" w:char="F061"/>
      </w:r>
      <w:r w:rsidRPr="003131ED">
        <w:rPr>
          <w:rFonts w:eastAsia="Arial"/>
          <w:sz w:val="22"/>
          <w:szCs w:val="22"/>
        </w:rPr>
        <w:t xml:space="preserve">-synuclein. Thus, our study is consistent with the data that the IRE-like sequence of </w:t>
      </w:r>
      <w:r w:rsidRPr="003131ED">
        <w:rPr>
          <w:rFonts w:eastAsia="Arial"/>
          <w:sz w:val="22"/>
          <w:szCs w:val="22"/>
        </w:rPr>
        <w:sym w:font="Symbol" w:char="F061"/>
      </w:r>
      <w:r w:rsidRPr="003131ED">
        <w:rPr>
          <w:rFonts w:eastAsia="Arial"/>
          <w:sz w:val="22"/>
          <w:szCs w:val="22"/>
        </w:rPr>
        <w:t>-synuclein is nonfunctional</w:t>
      </w:r>
      <w:r w:rsidR="00B1601A" w:rsidRPr="003131ED">
        <w:rPr>
          <w:rFonts w:eastAsia="Arial"/>
          <w:sz w:val="22"/>
          <w:szCs w:val="22"/>
        </w:rPr>
        <w:t>,</w:t>
      </w:r>
      <w:r w:rsidRPr="003131ED">
        <w:rPr>
          <w:rFonts w:eastAsia="Arial"/>
          <w:sz w:val="22"/>
          <w:szCs w:val="22"/>
        </w:rPr>
        <w:t xml:space="preserve"> although we cannot rule out th</w:t>
      </w:r>
      <w:r w:rsidR="00B1601A" w:rsidRPr="003131ED">
        <w:rPr>
          <w:rFonts w:eastAsia="Arial"/>
          <w:sz w:val="22"/>
          <w:szCs w:val="22"/>
        </w:rPr>
        <w:t>at the</w:t>
      </w:r>
      <w:r w:rsidRPr="003131ED">
        <w:rPr>
          <w:rFonts w:eastAsia="Arial"/>
          <w:sz w:val="22"/>
          <w:szCs w:val="22"/>
        </w:rPr>
        <w:t xml:space="preserve"> </w:t>
      </w:r>
      <w:r w:rsidR="0057314F" w:rsidRPr="003131ED">
        <w:rPr>
          <w:rFonts w:eastAsia="Arial"/>
          <w:sz w:val="22"/>
          <w:szCs w:val="22"/>
        </w:rPr>
        <w:t>impact</w:t>
      </w:r>
      <w:r w:rsidRPr="003131ED">
        <w:rPr>
          <w:rFonts w:eastAsia="Arial"/>
          <w:sz w:val="22"/>
          <w:szCs w:val="22"/>
        </w:rPr>
        <w:t xml:space="preserve"> of the H63D </w:t>
      </w:r>
      <w:r w:rsidR="00B1601A" w:rsidRPr="003131ED">
        <w:rPr>
          <w:rFonts w:eastAsia="Arial"/>
          <w:i/>
          <w:sz w:val="22"/>
          <w:szCs w:val="22"/>
        </w:rPr>
        <w:t>HFE</w:t>
      </w:r>
      <w:r w:rsidR="00B1601A" w:rsidRPr="003131ED">
        <w:rPr>
          <w:rFonts w:eastAsia="Arial"/>
          <w:sz w:val="22"/>
          <w:szCs w:val="22"/>
        </w:rPr>
        <w:t xml:space="preserve"> </w:t>
      </w:r>
      <w:r w:rsidR="0057314F" w:rsidRPr="003131ED">
        <w:rPr>
          <w:rFonts w:eastAsia="Arial"/>
          <w:sz w:val="22"/>
          <w:szCs w:val="22"/>
        </w:rPr>
        <w:t>variant</w:t>
      </w:r>
      <w:r w:rsidR="00E2705D" w:rsidRPr="003131ED">
        <w:rPr>
          <w:rFonts w:eastAsia="Arial"/>
          <w:sz w:val="22"/>
          <w:szCs w:val="22"/>
        </w:rPr>
        <w:t>,</w:t>
      </w:r>
      <w:r w:rsidR="0057314F" w:rsidRPr="003131ED">
        <w:rPr>
          <w:rFonts w:eastAsia="Arial"/>
          <w:sz w:val="22"/>
          <w:szCs w:val="22"/>
        </w:rPr>
        <w:t xml:space="preserve"> which</w:t>
      </w:r>
      <w:r w:rsidRPr="003131ED">
        <w:rPr>
          <w:rFonts w:eastAsia="Arial"/>
          <w:sz w:val="22"/>
          <w:szCs w:val="22"/>
        </w:rPr>
        <w:t xml:space="preserve"> significantly alters other aspects of cellular metabolism such as autophagy </w:t>
      </w:r>
      <w:r w:rsidR="0057314F" w:rsidRPr="003131ED">
        <w:rPr>
          <w:rFonts w:eastAsia="Arial"/>
          <w:sz w:val="22"/>
          <w:szCs w:val="22"/>
        </w:rPr>
        <w:t xml:space="preserve">(shown herein) </w:t>
      </w:r>
      <w:r w:rsidRPr="003131ED">
        <w:rPr>
          <w:rFonts w:eastAsia="Arial"/>
          <w:sz w:val="22"/>
          <w:szCs w:val="22"/>
        </w:rPr>
        <w:t>and cholesterol synthesis</w:t>
      </w:r>
      <w:r w:rsidR="00BB2813" w:rsidRPr="003131ED">
        <w:rPr>
          <w:rFonts w:eastAsia="Arial"/>
          <w:sz w:val="22"/>
          <w:szCs w:val="22"/>
        </w:rPr>
        <w:t xml:space="preserve"> </w:t>
      </w:r>
      <w:r w:rsidR="00BB2813" w:rsidRPr="003131ED">
        <w:rPr>
          <w:rFonts w:eastAsia="Arial"/>
          <w:sz w:val="22"/>
          <w:szCs w:val="22"/>
        </w:rPr>
        <w:fldChar w:fldCharType="begin" w:fldLock="1"/>
      </w:r>
      <w:r w:rsidR="00D86B9A" w:rsidRPr="003131ED">
        <w:rPr>
          <w:rFonts w:eastAsia="Arial"/>
          <w:sz w:val="22"/>
          <w:szCs w:val="22"/>
        </w:rPr>
        <w:instrText>ADDIN CSL_CITATION {"citationItems":[{"id":"ITEM-1","itemData":{"DOI":"10.1016/j.neurobiolaging.2013.12.014","ISSN":"1558-1497","PMID":"24439478","abstract":"The H63D variant of the hemochromatosis (HFE) gene, when expressed in carriers of the apolipoprotein E4 allele, is implicated as a risk factor for earlier onset of Alzheimer's disease (AD). We tested the hypothesis that like expression of apolipoprotein E4, expression of H63D-HFE disrupts cholesterol metabolism contributing to an increase in neurodegeneration and memory deficits. Analysis of SH-SY5Y human neuroblastoma cells transfected to stably express either wild type- (WT) or H63D-HFE indicated about a 50% reduction in cholesterol content in cells expressing H63D-HFE. This was accompanied by a significant decrease in expression of 3-hydroxy-3-methyl-glutaryl-CoA reductase, and a significant increase in expression of cholesterol 24-hydroxylase. Consistent with these studies, H67D-HFE (orthologous to human H63D-HFE) knock-in mice, showed a greater age dependent decline in brain cholesterol than WT-HFE animals and changes in expression of proteins regulating cholesterol metabolism. Brains of aged H67D-HFE mice also exhibited a significant decrease in expression of synapse proteins and a significant increase in caspase-3 expression relative to WT-HFE controls. H67D-HFE mice also had a greater reduction in brain volume and poorer recognition and spatial memory than WT-HFE mice, symptoms associated with AD. These results indicate that the alterations in cholesterol metabolism associated with expression of H63D-HFE may contribute to the development of AD.","author":[{"dropping-particle":"","family":"Ali-Rahmani","given":"Fatima","non-dropping-particle":"","parse-names":false,"suffix":""},{"dropping-particle":"","family":"Grigson","given":"Patricia S","non-dropping-particle":"","parse-names":false,"suffix":""},{"dropping-particle":"","family":"Lee","given":"Sang","non-dropping-particle":"","parse-names":false,"suffix":""},{"dropping-particle":"","family":"Neely","given":"Elizabeth","non-dropping-particle":"","parse-names":false,"suffix":""},{"dropping-particle":"","family":"Connor","given":"James R","non-dropping-particle":"","parse-names":false,"suffix":""},{"dropping-particle":"","family":"Schengrund","given":"Cara-Lynne","non-dropping-particle":"","parse-names":false,"suffix":""}],"container-title":"Neurobiology of aging","id":"ITEM-1","issue":"6","issued":{"date-parts":[["2014","6"]]},"page":"1511.e1-12","title":"H63D mutation in hemochromatosis alters cholesterol metabolism and induces memory impairment.","type":"article-journal","volume":"35"},"uris":["http://www.mendeley.com/documents/?uuid=b9cdb99a-3510-38de-a547-e7edbbd338a7"]}],"mendeley":{"formattedCitation":"(Ali-Rahmani &lt;i&gt;et al.&lt;/i&gt; 2014a)","plainTextFormattedCitation":"(Ali-Rahmani et al. 2014a)","previouslyFormattedCitation":"(Ali-Rahmani &lt;i&gt;et al.&lt;/i&gt; 2014a)"},"properties":{"noteIndex":0},"schema":"https://github.com/citation-style-language/schema/raw/master/csl-citation.json"}</w:instrText>
      </w:r>
      <w:r w:rsidR="00BB2813" w:rsidRPr="003131ED">
        <w:rPr>
          <w:rFonts w:eastAsia="Arial"/>
          <w:sz w:val="22"/>
          <w:szCs w:val="22"/>
        </w:rPr>
        <w:fldChar w:fldCharType="separate"/>
      </w:r>
      <w:r w:rsidR="00D86B9A" w:rsidRPr="003131ED">
        <w:rPr>
          <w:rFonts w:eastAsia="Arial"/>
          <w:noProof/>
          <w:sz w:val="22"/>
          <w:szCs w:val="22"/>
        </w:rPr>
        <w:t xml:space="preserve">(Ali-Rahmani </w:t>
      </w:r>
      <w:r w:rsidR="00D86B9A" w:rsidRPr="003131ED">
        <w:rPr>
          <w:rFonts w:eastAsia="Arial"/>
          <w:i/>
          <w:noProof/>
          <w:sz w:val="22"/>
          <w:szCs w:val="22"/>
        </w:rPr>
        <w:t>et al.</w:t>
      </w:r>
      <w:r w:rsidR="00D86B9A" w:rsidRPr="003131ED">
        <w:rPr>
          <w:rFonts w:eastAsia="Arial"/>
          <w:noProof/>
          <w:sz w:val="22"/>
          <w:szCs w:val="22"/>
        </w:rPr>
        <w:t xml:space="preserve"> 2014a)</w:t>
      </w:r>
      <w:r w:rsidR="00BB2813" w:rsidRPr="003131ED">
        <w:rPr>
          <w:rFonts w:eastAsia="Arial"/>
          <w:sz w:val="22"/>
          <w:szCs w:val="22"/>
        </w:rPr>
        <w:fldChar w:fldCharType="end"/>
      </w:r>
      <w:r w:rsidR="00E2705D" w:rsidRPr="003131ED">
        <w:rPr>
          <w:rFonts w:eastAsia="Arial"/>
          <w:sz w:val="22"/>
          <w:szCs w:val="22"/>
        </w:rPr>
        <w:t>,</w:t>
      </w:r>
      <w:r w:rsidR="0031665F" w:rsidRPr="003131ED">
        <w:rPr>
          <w:rFonts w:eastAsia="Arial"/>
          <w:sz w:val="22"/>
          <w:szCs w:val="22"/>
        </w:rPr>
        <w:t xml:space="preserve"> </w:t>
      </w:r>
      <w:r w:rsidRPr="003131ED">
        <w:rPr>
          <w:rFonts w:eastAsia="Arial"/>
          <w:sz w:val="22"/>
          <w:szCs w:val="22"/>
        </w:rPr>
        <w:t xml:space="preserve">may </w:t>
      </w:r>
      <w:r w:rsidR="0057314F" w:rsidRPr="003131ED">
        <w:rPr>
          <w:rFonts w:eastAsia="Arial"/>
          <w:sz w:val="22"/>
          <w:szCs w:val="22"/>
        </w:rPr>
        <w:t>indirectly alter</w:t>
      </w:r>
      <w:r w:rsidRPr="003131ED">
        <w:rPr>
          <w:rFonts w:eastAsia="Arial"/>
          <w:sz w:val="22"/>
          <w:szCs w:val="22"/>
        </w:rPr>
        <w:t xml:space="preserve"> the expression of α-synuclein. </w:t>
      </w:r>
    </w:p>
    <w:p w14:paraId="3AEA77BC" w14:textId="77777777" w:rsidR="00503813" w:rsidRPr="003131ED" w:rsidRDefault="00503813" w:rsidP="00D0468C">
      <w:pPr>
        <w:spacing w:line="360" w:lineRule="auto"/>
        <w:jc w:val="both"/>
        <w:rPr>
          <w:rFonts w:eastAsia="Arial"/>
          <w:sz w:val="22"/>
          <w:szCs w:val="22"/>
        </w:rPr>
      </w:pPr>
    </w:p>
    <w:p w14:paraId="500031C6" w14:textId="6424F6FC" w:rsidR="00503813" w:rsidRPr="003131ED" w:rsidRDefault="0057314F" w:rsidP="00D0468C">
      <w:pPr>
        <w:spacing w:line="360" w:lineRule="auto"/>
        <w:jc w:val="both"/>
        <w:rPr>
          <w:sz w:val="22"/>
          <w:szCs w:val="22"/>
        </w:rPr>
      </w:pPr>
      <w:r w:rsidRPr="003131ED">
        <w:rPr>
          <w:rFonts w:eastAsia="Arial"/>
          <w:sz w:val="22"/>
          <w:szCs w:val="22"/>
        </w:rPr>
        <w:t>W</w:t>
      </w:r>
      <w:r w:rsidR="00C7188E" w:rsidRPr="003131ED">
        <w:rPr>
          <w:rFonts w:eastAsia="Arial"/>
          <w:sz w:val="22"/>
          <w:szCs w:val="22"/>
        </w:rPr>
        <w:t xml:space="preserve">e tested the hypothesis that the mechanism by which the H63D </w:t>
      </w:r>
      <w:r w:rsidR="00BB2813" w:rsidRPr="003131ED">
        <w:rPr>
          <w:rFonts w:eastAsia="Arial"/>
          <w:i/>
          <w:sz w:val="22"/>
          <w:szCs w:val="22"/>
        </w:rPr>
        <w:t>HFE</w:t>
      </w:r>
      <w:r w:rsidR="00BB2813" w:rsidRPr="003131ED">
        <w:rPr>
          <w:rFonts w:eastAsia="Arial"/>
          <w:sz w:val="22"/>
          <w:szCs w:val="22"/>
        </w:rPr>
        <w:t xml:space="preserve"> </w:t>
      </w:r>
      <w:r w:rsidR="00C7188E" w:rsidRPr="003131ED">
        <w:rPr>
          <w:rFonts w:eastAsia="Arial"/>
          <w:sz w:val="22"/>
          <w:szCs w:val="22"/>
        </w:rPr>
        <w:t xml:space="preserve">variant altered α-synuclein </w:t>
      </w:r>
      <w:r w:rsidR="00BB2813" w:rsidRPr="003131ED">
        <w:rPr>
          <w:rFonts w:eastAsia="Arial"/>
          <w:sz w:val="22"/>
          <w:szCs w:val="22"/>
        </w:rPr>
        <w:t>level</w:t>
      </w:r>
      <w:r w:rsidR="00C7188E" w:rsidRPr="003131ED">
        <w:rPr>
          <w:rFonts w:eastAsia="Arial"/>
          <w:sz w:val="22"/>
          <w:szCs w:val="22"/>
        </w:rPr>
        <w:t xml:space="preserve"> was through altered autophagy. </w:t>
      </w:r>
      <w:r w:rsidR="00503813" w:rsidRPr="003131ED">
        <w:rPr>
          <w:rFonts w:eastAsia="Arial"/>
          <w:sz w:val="22"/>
          <w:szCs w:val="22"/>
        </w:rPr>
        <w:t xml:space="preserve">Although autophagy was first discovered as a starvation response mechanism, many studies have now shown that constitutive autophagy is an essential homeostatic process, especially for neurons. </w:t>
      </w:r>
      <w:r w:rsidR="00503813" w:rsidRPr="003131ED">
        <w:rPr>
          <w:sz w:val="22"/>
          <w:szCs w:val="22"/>
        </w:rPr>
        <w:t>Knockout mice lacking key proteins for autophagy (ATG8, ATG5) show signs of neurodegeneration, motor deficiencies, and accumulation of protein aggregates</w:t>
      </w:r>
      <w:r w:rsidR="004D625C" w:rsidRPr="003131ED">
        <w:rPr>
          <w:sz w:val="22"/>
          <w:szCs w:val="22"/>
        </w:rPr>
        <w:t xml:space="preserve"> </w:t>
      </w:r>
      <w:r w:rsidR="004D625C" w:rsidRPr="003131ED">
        <w:rPr>
          <w:sz w:val="22"/>
          <w:szCs w:val="22"/>
        </w:rPr>
        <w:fldChar w:fldCharType="begin" w:fldLock="1"/>
      </w:r>
      <w:r w:rsidR="00D86B9A" w:rsidRPr="003131ED">
        <w:rPr>
          <w:sz w:val="22"/>
          <w:szCs w:val="22"/>
        </w:rPr>
        <w:instrText>ADDIN CSL_CITATION {"citationItems":[{"id":"ITEM-1","itemData":{"DOI":"10.1038/nature04723","ISSN":"00280836","PMID":"16625205","abstract":"Protein quality-control, especially the removal of proteins with aberrant structures, has an important role in maintaining the homeostasis of non-dividing neural cells. In addition to the ubiquitin-proteasome system, emerging evidence points to the importance of autophagy - the bulk protein degradation pathway involved in starvation-induced and constitutive protein turn-over - in the protein quality-control process. However, little is known about the precise roles of autophagy in neurons. Here we report that loss of Atg7 (autophagy-related 7), a gene essential for autophagy, leads to neurodegeneration. We found that mice lacking Atg7 specifically in the central nervous system showed behavioural defects, including abnormal limb-clasping reflexes and a reduction in coordinated movement, and died within 28 weeks of birth. Atg7 deficiency caused massive neuronal loss in the cerebral and cerebellar cortices. Notably, polyubiquitinated proteins accumulated in autophagy-deficient neurons as inclusion bodies, which increased in size and number with ageing. There was, however, no obvious alteration in proteasome function. Our results indicate that autophagy is essential for the survival of neural cells, and that impairment of autophagy is implicated in the pathogenesis of neurodegenerative disorders involving ubiquitin-containing inclusion bodies. © 2006 Nature Publishing Group.","author":[{"dropping-particle":"","family":"Komatsu","given":"Masaaki","non-dropping-particle":"","parse-names":false,"suffix":""},{"dropping-particle":"","family":"Waguri","given":"Satoshi","non-dropping-particle":"","parse-names":false,"suffix":""},{"dropping-particle":"","family":"Chiba","given":"Tomoki","non-dropping-particle":"","parse-names":false,"suffix":""},{"dropping-particle":"","family":"Murata","given":"Shigeo","non-dropping-particle":"","parse-names":false,"suffix":""},{"dropping-particle":"","family":"Iwata","given":"Jun Ichi","non-dropping-particle":"","parse-names":false,"suffix":""},{"dropping-particle":"","family":"Tanida","given":"Isei","non-dropping-particle":"","parse-names":false,"suffix":""},{"dropping-particle":"","family":"Ueno","given":"Takashi","non-dropping-particle":"","parse-names":false,"suffix":""},{"dropping-particle":"","family":"Koike","given":"Masato","non-dropping-particle":"","parse-names":false,"suffix":""},{"dropping-particle":"","family":"Uchiyama","given":"Yasuo","non-dropping-particle":"","parse-names":false,"suffix":""},{"dropping-particle":"","family":"Kominami","given":"Eiki","non-dropping-particle":"","parse-names":false,"suffix":""},{"dropping-particle":"","family":"Tanaka","given":"Keiji","non-dropping-particle":"","parse-names":false,"suffix":""}],"container-title":"Nature","id":"ITEM-1","issue":"7095","issued":{"date-parts":[["2006","6","15"]]},"page":"880-884","title":"Loss of autophagy in the central nervous system causes neurodegeneration in mice","type":"article-journal","volume":"441"},"uris":["http://www.mendeley.com/documents/?uuid=799dca85-b448-3f1b-99b6-74553a8eb83c"]}],"mendeley":{"formattedCitation":"(Komatsu &lt;i&gt;et al.&lt;/i&gt; 2006)","plainTextFormattedCitation":"(Komatsu et al. 2006)","previouslyFormattedCitation":"(Komatsu &lt;i&gt;et al.&lt;/i&gt; 2006)"},"properties":{"noteIndex":0},"schema":"https://github.com/citation-style-language/schema/raw/master/csl-citation.json"}</w:instrText>
      </w:r>
      <w:r w:rsidR="004D625C" w:rsidRPr="003131ED">
        <w:rPr>
          <w:sz w:val="22"/>
          <w:szCs w:val="22"/>
        </w:rPr>
        <w:fldChar w:fldCharType="separate"/>
      </w:r>
      <w:r w:rsidR="00D86B9A" w:rsidRPr="003131ED">
        <w:rPr>
          <w:noProof/>
          <w:sz w:val="22"/>
          <w:szCs w:val="22"/>
        </w:rPr>
        <w:t xml:space="preserve">(Komatsu </w:t>
      </w:r>
      <w:r w:rsidR="00D86B9A" w:rsidRPr="003131ED">
        <w:rPr>
          <w:i/>
          <w:noProof/>
          <w:sz w:val="22"/>
          <w:szCs w:val="22"/>
        </w:rPr>
        <w:t>et al.</w:t>
      </w:r>
      <w:r w:rsidR="00D86B9A" w:rsidRPr="003131ED">
        <w:rPr>
          <w:noProof/>
          <w:sz w:val="22"/>
          <w:szCs w:val="22"/>
        </w:rPr>
        <w:t xml:space="preserve"> 2006)</w:t>
      </w:r>
      <w:r w:rsidR="004D625C" w:rsidRPr="003131ED">
        <w:rPr>
          <w:sz w:val="22"/>
          <w:szCs w:val="22"/>
        </w:rPr>
        <w:fldChar w:fldCharType="end"/>
      </w:r>
      <w:r w:rsidR="00503813" w:rsidRPr="003131ED">
        <w:rPr>
          <w:sz w:val="22"/>
          <w:szCs w:val="22"/>
        </w:rPr>
        <w:t xml:space="preserve">. Hara, et al. </w:t>
      </w:r>
      <w:r w:rsidR="00A74B09" w:rsidRPr="003131ED">
        <w:rPr>
          <w:sz w:val="22"/>
          <w:szCs w:val="22"/>
        </w:rPr>
        <w:t xml:space="preserve">2006 </w:t>
      </w:r>
      <w:r w:rsidR="00503813" w:rsidRPr="003131ED">
        <w:rPr>
          <w:sz w:val="22"/>
          <w:szCs w:val="22"/>
        </w:rPr>
        <w:t xml:space="preserve">further showed that baseline autophagy in neurons is responsible for turnover of diffuse cytosolic proteins. Dysregulation of autophagy has been shown in multiple models of </w:t>
      </w:r>
      <w:r w:rsidR="0075773D" w:rsidRPr="003131ED">
        <w:rPr>
          <w:sz w:val="22"/>
          <w:szCs w:val="22"/>
        </w:rPr>
        <w:t>Parkinson’s disease</w:t>
      </w:r>
      <w:r w:rsidR="00503813" w:rsidRPr="003131ED">
        <w:rPr>
          <w:sz w:val="22"/>
          <w:szCs w:val="22"/>
        </w:rPr>
        <w:t xml:space="preserve">; therefore, we investigated autophagy as a potential protective mechanism in H63D </w:t>
      </w:r>
      <w:r w:rsidR="00503813" w:rsidRPr="003131ED">
        <w:rPr>
          <w:i/>
          <w:sz w:val="22"/>
          <w:szCs w:val="22"/>
        </w:rPr>
        <w:t>HFE</w:t>
      </w:r>
      <w:r w:rsidR="00503813" w:rsidRPr="003131ED">
        <w:rPr>
          <w:sz w:val="22"/>
          <w:szCs w:val="22"/>
        </w:rPr>
        <w:t xml:space="preserve"> cells. Compared to wildtype, H63D </w:t>
      </w:r>
      <w:r w:rsidR="00503813" w:rsidRPr="003131ED">
        <w:rPr>
          <w:i/>
          <w:sz w:val="22"/>
          <w:szCs w:val="22"/>
        </w:rPr>
        <w:t>HFE</w:t>
      </w:r>
      <w:r w:rsidR="00503813" w:rsidRPr="003131ED">
        <w:rPr>
          <w:sz w:val="22"/>
          <w:szCs w:val="22"/>
        </w:rPr>
        <w:t xml:space="preserve"> cells had increased baseline autophagic flux. H63D </w:t>
      </w:r>
      <w:r w:rsidR="00503813" w:rsidRPr="003131ED">
        <w:rPr>
          <w:i/>
          <w:sz w:val="22"/>
          <w:szCs w:val="22"/>
        </w:rPr>
        <w:t>HFE</w:t>
      </w:r>
      <w:r w:rsidR="00503813" w:rsidRPr="003131ED">
        <w:rPr>
          <w:sz w:val="22"/>
          <w:szCs w:val="22"/>
        </w:rPr>
        <w:t xml:space="preserve"> cells and also failed to induce autophagy with mTORC1 inhibitor, rapamycin, treatment indicating that mTORC1 activity is already inhibited</w:t>
      </w:r>
      <w:r w:rsidR="00BB2813" w:rsidRPr="003131ED">
        <w:rPr>
          <w:sz w:val="22"/>
          <w:szCs w:val="22"/>
        </w:rPr>
        <w:t>. This</w:t>
      </w:r>
      <w:r w:rsidR="00503813" w:rsidRPr="003131ED">
        <w:rPr>
          <w:sz w:val="22"/>
          <w:szCs w:val="22"/>
        </w:rPr>
        <w:t xml:space="preserve"> is consistent with the increased expression of REDD1, a known mTORC1 inhibitor. </w:t>
      </w:r>
      <w:r w:rsidR="00274921" w:rsidRPr="003131ED">
        <w:rPr>
          <w:sz w:val="22"/>
          <w:szCs w:val="22"/>
        </w:rPr>
        <w:t xml:space="preserve">Phosphorylation of ULK1 at Ser757 was </w:t>
      </w:r>
      <w:r w:rsidR="009E6CDA" w:rsidRPr="003131ED">
        <w:rPr>
          <w:sz w:val="22"/>
          <w:szCs w:val="22"/>
        </w:rPr>
        <w:t xml:space="preserve">also </w:t>
      </w:r>
      <w:r w:rsidR="00274921" w:rsidRPr="003131ED">
        <w:rPr>
          <w:sz w:val="22"/>
          <w:szCs w:val="22"/>
        </w:rPr>
        <w:t xml:space="preserve">decreased in H63D </w:t>
      </w:r>
      <w:r w:rsidR="00274921" w:rsidRPr="003131ED">
        <w:rPr>
          <w:i/>
          <w:sz w:val="22"/>
          <w:szCs w:val="22"/>
        </w:rPr>
        <w:t xml:space="preserve">HFE </w:t>
      </w:r>
      <w:r w:rsidR="00274921" w:rsidRPr="003131ED">
        <w:rPr>
          <w:sz w:val="22"/>
          <w:szCs w:val="22"/>
        </w:rPr>
        <w:t>cells</w:t>
      </w:r>
      <w:r w:rsidR="00657AF4" w:rsidRPr="003131ED">
        <w:rPr>
          <w:sz w:val="22"/>
          <w:szCs w:val="22"/>
        </w:rPr>
        <w:t xml:space="preserve">. </w:t>
      </w:r>
      <w:r w:rsidR="000828A4" w:rsidRPr="003131ED">
        <w:rPr>
          <w:sz w:val="22"/>
          <w:szCs w:val="22"/>
        </w:rPr>
        <w:t>ULK1 complex initiates autophagy and Ser757 phosphorylation by mTORC1 has been shown to inhibit its activity</w:t>
      </w:r>
      <w:r w:rsidR="00777676" w:rsidRPr="003131ED">
        <w:rPr>
          <w:sz w:val="22"/>
          <w:szCs w:val="22"/>
        </w:rPr>
        <w:t xml:space="preserve"> </w:t>
      </w:r>
      <w:r w:rsidR="00777676" w:rsidRPr="003131ED">
        <w:rPr>
          <w:sz w:val="22"/>
          <w:szCs w:val="22"/>
        </w:rPr>
        <w:fldChar w:fldCharType="begin" w:fldLock="1"/>
      </w:r>
      <w:r w:rsidR="00D86B9A" w:rsidRPr="003131ED">
        <w:rPr>
          <w:sz w:val="22"/>
          <w:szCs w:val="22"/>
        </w:rPr>
        <w:instrText>ADDIN CSL_CITATION {"citationItems":[{"id":"ITEM-1","itemData":{"DOI":"10.1038/ncb2152","ISSN":"14657392","PMID":"21258367","abstract":"Autophagy is a process by which components of the cell are degraded to maintain essential activity and viability in response to nutrient limitation. Extensive genetic studies have shown that the yeast ATG1 kinase has an essential role in autophagy induction. Furthermore, autophagy is promoted by AMP activated protein kinase (AMPK), which is a key energy sensor and regulates cellular metabolism to maintain energy homeostasis. Conversely, autophagy is inhibited by the mammalian target of rapamycin (mTOR), a central cell-growth regulator that integrates growth factor and nutrient signals. Here we demonstrate a molecular mechanism for regulation of the mammalian autophagy-initiating kinase Ulk1, a homologue of yeast ATG1. Under glucose starvation, AMPK promotes autophagy by directly activating Ulk1 through phosphorylation of Ser 317 and Ser 777. Under nutrient sufficiency, high mTOR activity prevents Ulk1 activation by phosphorylating Ulk1 Ser 757 and disrupting the interaction between Ulk1 and AMPK. This coordinated phosphorylation is important for Ulk1 in autophagy induction. Our study has revealed a signalling mechanism for Ulk1 regulation and autophagy induction in response to nutrient signalling. © 2011 Macmillan Publishers Limited. All rights reserved.","author":[{"dropping-particle":"","family":"Kim","given":"Joungmok","non-dropping-particle":"","parse-names":false,"suffix":""},{"dropping-particle":"","family":"Kundu","given":"Mondira","non-dropping-particle":"","parse-names":false,"suffix":""},{"dropping-particle":"","family":"Viollet","given":"Benoit","non-dropping-particle":"","parse-names":false,"suffix":""},{"dropping-particle":"","family":"Guan","given":"Kun Liang","non-dropping-particle":"","parse-names":false,"suffix":""}],"container-title":"Nature Cell Biology","id":"ITEM-1","issue":"2","issued":{"date-parts":[["2011","2"]]},"page":"132-141","title":"AMPK and mTOR regulate autophagy through direct phosphorylation of Ulk1","type":"article-journal","volume":"13"},"uris":["http://www.mendeley.com/documents/?uuid=ee107b95-cb80-38d0-8cd5-ee116bd34ec7"]}],"mendeley":{"formattedCitation":"(Kim &lt;i&gt;et al.&lt;/i&gt; 2011)","plainTextFormattedCitation":"(Kim et al. 2011)","previouslyFormattedCitation":"(Kim &lt;i&gt;et al.&lt;/i&gt; 2011)"},"properties":{"noteIndex":0},"schema":"https://github.com/citation-style-language/schema/raw/master/csl-citation.json"}</w:instrText>
      </w:r>
      <w:r w:rsidR="00777676" w:rsidRPr="003131ED">
        <w:rPr>
          <w:sz w:val="22"/>
          <w:szCs w:val="22"/>
        </w:rPr>
        <w:fldChar w:fldCharType="separate"/>
      </w:r>
      <w:r w:rsidR="00D86B9A" w:rsidRPr="003131ED">
        <w:rPr>
          <w:noProof/>
          <w:sz w:val="22"/>
          <w:szCs w:val="22"/>
        </w:rPr>
        <w:t xml:space="preserve">(Kim </w:t>
      </w:r>
      <w:r w:rsidR="00D86B9A" w:rsidRPr="003131ED">
        <w:rPr>
          <w:i/>
          <w:noProof/>
          <w:sz w:val="22"/>
          <w:szCs w:val="22"/>
        </w:rPr>
        <w:t>et al.</w:t>
      </w:r>
      <w:r w:rsidR="00D86B9A" w:rsidRPr="003131ED">
        <w:rPr>
          <w:noProof/>
          <w:sz w:val="22"/>
          <w:szCs w:val="22"/>
        </w:rPr>
        <w:t xml:space="preserve"> 2011)</w:t>
      </w:r>
      <w:r w:rsidR="00777676" w:rsidRPr="003131ED">
        <w:rPr>
          <w:sz w:val="22"/>
          <w:szCs w:val="22"/>
        </w:rPr>
        <w:fldChar w:fldCharType="end"/>
      </w:r>
      <w:r w:rsidR="000828A4" w:rsidRPr="003131ED">
        <w:rPr>
          <w:sz w:val="22"/>
          <w:szCs w:val="22"/>
        </w:rPr>
        <w:t>.</w:t>
      </w:r>
      <w:r w:rsidR="00DC56EC" w:rsidRPr="003131ED">
        <w:rPr>
          <w:sz w:val="22"/>
          <w:szCs w:val="22"/>
        </w:rPr>
        <w:t xml:space="preserve"> </w:t>
      </w:r>
      <w:r w:rsidR="00503813" w:rsidRPr="003131ED">
        <w:rPr>
          <w:sz w:val="22"/>
          <w:szCs w:val="22"/>
        </w:rPr>
        <w:t xml:space="preserve">REDD1 expression has been shown to be affected by various cellular stresses including hypoxia and ER stress </w:t>
      </w:r>
      <w:r w:rsidR="002C389D" w:rsidRPr="003131ED">
        <w:rPr>
          <w:sz w:val="22"/>
          <w:szCs w:val="22"/>
        </w:rPr>
        <w:fldChar w:fldCharType="begin" w:fldLock="1"/>
      </w:r>
      <w:r w:rsidR="00D86B9A" w:rsidRPr="003131ED">
        <w:rPr>
          <w:sz w:val="22"/>
          <w:szCs w:val="22"/>
        </w:rPr>
        <w:instrText>ADDIN CSL_CITATION {"citationItems":[{"id":"ITEM-1","itemData":{"DOI":"10.1016/j.bbrc.2008.12.079","ISSN":"0006291X","PMID":"19114033","abstract":"In response to a variety of cell stresses, e.g. endoplasmic reticulum (ER) stress, expression of REDD1 (regulated in development and DNA damage responses) is transcriptionally upregulated. However, the mechanism through which ER stress acts to upregulate REDD1 expression is unknown. In the present study, REDD1 expression was found to be upregulated by ER stress in several cell lines. However, in MEF cells lacking the eIF2α kinase PERK, ER stress failed to upregulate REDD1 expression, demonstrating that phosphorylation of eIF2α was necessary for the effect. Moreover, ER stress led to upregulated expression of the transcription factor ATF4, but in MEF cells lacking ATF4, REDD1 mRNA expression was not increased by ER stress. In contrast, exogenous expression of ATF4 was sufficient to induce REDD1 expression. Overall, the results suggest that REDD1 expression is upregulated during ER stress through a mechanism involving activation of PERK, phosphorylation of eIF2α, and increased ATF4 expression. © 2008 Elsevier Inc. All rights reserved.","author":[{"dropping-particle":"","family":"Whitney","given":"Michael L.","non-dropping-particle":"","parse-names":false,"suffix":""},{"dropping-particle":"","family":"Jefferson","given":"Leonard S.","non-dropping-particle":"","parse-names":false,"suffix":""},{"dropping-particle":"","family":"Kimball","given":"Scot R.","non-dropping-particle":"","parse-names":false,"suffix":""}],"container-title":"Biochemical and Biophysical Research Communications","id":"ITEM-1","issue":"2","issued":{"date-parts":[["2009","2","6"]]},"page":"451-455","title":"ATF4 is necessary and sufficient for ER stress-induced upregulation of REDD1 expression","type":"article-journal","volume":"379"},"uris":["http://www.mendeley.com/documents/?uuid=10d41286-fb63-320e-8e20-c9524e2ece9f"]},{"id":"ITEM-2","itemData":{"DOI":"10.1016/j.cellsig.2013.08.038","ISSN":"08986568","PMID":"24018049","abstract":"Regulated in DNA damage and development 1 (REDD1) functions to repress signaling through the mechanistic target of rapamycin (mTOR) protein kinase in complex 1 (mTORC1) in response to diverse stress conditions. In the present study, we investigated the role of REDD1 in the response of cells to growth cessation induced by serum deprivation. REDD1 expression was induced within 2. h of depriving cells of serum, with the induction being mediated through ER stress, as evidenced by activation of PERK, enhanced eIF2α phosphorylation, and ATF4 facilitated transcription of the REDD1 gene. In wild-type cells, signaling through mTORC1 was rapidly (within 30. min) repressed in response to serum deprivation and the repression was sustained for at least 10. h. In contrast, in REDD1 knockout cells mTORC1 signaling recovered toward the end of the 10. h-deprivation period. Interestingly, Akt phosphorylation initially declined in response to serum deprivation and then recovered between 2 and 4. h in wild-type but not REDD1 knockout cells. The recovery of mTORC1 signaling and the failure of Akt phosphorylation to do so in the REDD1 knockout cells were accompanied by a dramatic increase in caspase-3 cleavage and cell death, both of which were blocked by rapamycin. Furthermore, overexpression of constitutively active Akt rescued REDD1 knockout cells from serum deprivation induced cell death. Overall, the results implicate REDD1 as a key regulatory checkpoint that coordinates growth signaling inputs to activate pro-survival mechanisms and reduce susceptibility to cell death. © 2013.","author":[{"dropping-particle":"","family":"Dennis","given":"Michael D.","non-dropping-particle":"","parse-names":false,"suffix":""},{"dropping-particle":"","family":"McGhee","given":"Nora K.","non-dropping-particle":"","parse-names":false,"suffix":""},{"dropping-particle":"","family":"Jefferson","given":"Leonard S.","non-dropping-particle":"","parse-names":false,"suffix":""},{"dropping-particle":"","family":"Kimball","given":"Scot R.","non-dropping-particle":"","parse-names":false,"suffix":""}],"container-title":"Cellular Signalling","id":"ITEM-2","issue":"12","issued":{"date-parts":[["2013","12"]]},"page":"2709-2716","title":"Regulated in DNA damage and development 1 (REDD1) promotes cell survival during serum deprivation by sustaining repression of signaling through the mechanistic target of rapamycin in complex 1 (mTORC1)","type":"article-journal","volume":"25"},"uris":["http://www.mendeley.com/documents/?uuid=b7cfe1de-d41f-31d8-9c8c-0f9cbe11fbc6"]},{"id":"ITEM-3","itemData":{"DOI":"10.1111/j.1349-7006.2009.01131.x","ISSN":"13479032","PMID":"19298223","abstract":"To evaluate the effect of deferasirox in human myeloid leukemia cells, and to identify the moleclular pathways responsible for antiproliferative effects on leukemia cells during chelation therapy, we performed gene expression profiling to focus on the pathway involved in the anticancer effect of deferasirox. The inhibitory concentration (IC 50 ) of deferasirox was 17-50 μM in three human myeloid cell lines (K562, U937, and HL60), while those in fresh leukemia cells obtained from four patients it varied from 88 to 172 μM. Gene expression profiling using Affymerix GeneChips (U133 Plus 2.0) revealed up-regulation of cyclin-dependent kinase inhibitor 1A (CDKN1A) encoding p21 CIP , genes regulating interferon (i.e. IFIT1). Pathways related to iron metabolism and hypoxia such as growth differentiation factor 15 (GDF-15) and Regulated in development and DNA damage response (REDD1) were also prominent. Based on the results obtained from gene expression profiling, we particularly focused on the REDD1/mTOR (mammalian target of rapamycin) pathway in deferasirox-treated K562 cells, and found an enhanced expression of REDD1 and its down-stream protein, tuberin (TSC2). Notably, S6 ribosomal protein as well as phosphorylated S6, which is known to be a target of mTOR, was significantly repressed in deferasirox-treated K562 cells, and REDD1 small interfering RNA restored phosphorylation of S6. Although iron chelation may affect multiple signaling pathways related to cell survival, our data support the conclusion that REDD1 functions up-stream of tuberin to down-regulate the mTOR pathway in response to deferasirox. Deferasirox might not only have benefit for iron chelation but also may be an antiproliferative agent in some myeloid leukemias, especially patients who need both iron chelation and reduction of leukemia cells. © 2009 Japanese Cancer Association.","author":[{"dropping-particle":"","family":"Ohyashiki","given":"Junko H.","non-dropping-particle":"","parse-names":false,"suffix":""},{"dropping-particle":"","family":"Kobayashi","given":"Chiaki","non-dropping-particle":"","parse-names":false,"suffix":""},{"dropping-particle":"","family":"Hamamura","given":"Ryoko","non-dropping-particle":"","parse-names":false,"suffix":""},{"dropping-particle":"","family":"Okabe","given":"Seiichi","non-dropping-particle":"","parse-names":false,"suffix":""},{"dropping-particle":"","family":"Tauchi","given":"Tetsuzo","non-dropping-particle":"","parse-names":false,"suffix":""},{"dropping-particle":"","family":"Ohyashiki","given":"Kazuma","non-dropping-particle":"","parse-names":false,"suffix":""}],"container-title":"Cancer Science","id":"ITEM-3","issue":"5","issued":{"date-parts":[["2009","5"]]},"page":"970-977","title":"The oral iron chelator deferasirox represses signaling through the mTOR in myeloid leukemia cells by enhancing expression of REDD1","type":"article-journal","volume":"100"},"uris":["http://www.mendeley.com/documents/?uuid=d42b66b9-4766-39d3-b3fe-73c7692d4998"]}],"mendeley":{"formattedCitation":"(Whitney &lt;i&gt;et al.&lt;/i&gt; 2009; Dennis &lt;i&gt;et al.&lt;/i&gt; 2013; Ohyashiki &lt;i&gt;et al.&lt;/i&gt; 2009)","plainTextFormattedCitation":"(Whitney et al. 2009; Dennis et al. 2013; Ohyashiki et al. 2009)","previouslyFormattedCitation":"(Whitney &lt;i&gt;et al.&lt;/i&gt; 2009; Dennis &lt;i&gt;et al.&lt;/i&gt; 2013; Ohyashiki &lt;i&gt;et al.&lt;/i&gt; 2009)"},"properties":{"noteIndex":0},"schema":"https://github.com/citation-style-language/schema/raw/master/csl-citation.json"}</w:instrText>
      </w:r>
      <w:r w:rsidR="002C389D" w:rsidRPr="003131ED">
        <w:rPr>
          <w:sz w:val="22"/>
          <w:szCs w:val="22"/>
        </w:rPr>
        <w:fldChar w:fldCharType="separate"/>
      </w:r>
      <w:r w:rsidR="00D86B9A" w:rsidRPr="003131ED">
        <w:rPr>
          <w:noProof/>
          <w:sz w:val="22"/>
          <w:szCs w:val="22"/>
        </w:rPr>
        <w:t xml:space="preserve">(Whitney </w:t>
      </w:r>
      <w:r w:rsidR="00D86B9A" w:rsidRPr="003131ED">
        <w:rPr>
          <w:i/>
          <w:noProof/>
          <w:sz w:val="22"/>
          <w:szCs w:val="22"/>
        </w:rPr>
        <w:t>et al.</w:t>
      </w:r>
      <w:r w:rsidR="00D86B9A" w:rsidRPr="003131ED">
        <w:rPr>
          <w:noProof/>
          <w:sz w:val="22"/>
          <w:szCs w:val="22"/>
        </w:rPr>
        <w:t xml:space="preserve"> 2009; Dennis </w:t>
      </w:r>
      <w:r w:rsidR="00D86B9A" w:rsidRPr="003131ED">
        <w:rPr>
          <w:i/>
          <w:noProof/>
          <w:sz w:val="22"/>
          <w:szCs w:val="22"/>
        </w:rPr>
        <w:t>et al.</w:t>
      </w:r>
      <w:r w:rsidR="00D86B9A" w:rsidRPr="003131ED">
        <w:rPr>
          <w:noProof/>
          <w:sz w:val="22"/>
          <w:szCs w:val="22"/>
        </w:rPr>
        <w:t xml:space="preserve"> 2013; Ohyashiki </w:t>
      </w:r>
      <w:r w:rsidR="00D86B9A" w:rsidRPr="003131ED">
        <w:rPr>
          <w:i/>
          <w:noProof/>
          <w:sz w:val="22"/>
          <w:szCs w:val="22"/>
        </w:rPr>
        <w:t>et al.</w:t>
      </w:r>
      <w:r w:rsidR="00D86B9A" w:rsidRPr="003131ED">
        <w:rPr>
          <w:noProof/>
          <w:sz w:val="22"/>
          <w:szCs w:val="22"/>
        </w:rPr>
        <w:t xml:space="preserve"> 2009)</w:t>
      </w:r>
      <w:r w:rsidR="002C389D" w:rsidRPr="003131ED">
        <w:rPr>
          <w:sz w:val="22"/>
          <w:szCs w:val="22"/>
        </w:rPr>
        <w:fldChar w:fldCharType="end"/>
      </w:r>
      <w:r w:rsidR="00503813" w:rsidRPr="003131ED">
        <w:rPr>
          <w:sz w:val="22"/>
          <w:szCs w:val="22"/>
        </w:rPr>
        <w:t xml:space="preserve">. </w:t>
      </w:r>
      <w:r w:rsidR="00C7188E" w:rsidRPr="003131ED">
        <w:rPr>
          <w:sz w:val="22"/>
          <w:szCs w:val="22"/>
        </w:rPr>
        <w:t xml:space="preserve">The </w:t>
      </w:r>
      <w:r w:rsidR="00503813" w:rsidRPr="003131ED">
        <w:rPr>
          <w:sz w:val="22"/>
          <w:szCs w:val="22"/>
        </w:rPr>
        <w:t>H63D HFE protein has been shown to induce prolonged ER stress independent of cellular iron status</w:t>
      </w:r>
      <w:r w:rsidR="003E6E5D" w:rsidRPr="003131ED">
        <w:rPr>
          <w:sz w:val="22"/>
          <w:szCs w:val="22"/>
        </w:rPr>
        <w:t xml:space="preserve"> </w:t>
      </w:r>
      <w:r w:rsidR="003E6E5D" w:rsidRPr="003131ED">
        <w:rPr>
          <w:sz w:val="22"/>
          <w:szCs w:val="22"/>
        </w:rPr>
        <w:fldChar w:fldCharType="begin" w:fldLock="1"/>
      </w:r>
      <w:r w:rsidR="00D86B9A" w:rsidRPr="003131ED">
        <w:rPr>
          <w:sz w:val="22"/>
          <w:szCs w:val="22"/>
        </w:rPr>
        <w:instrText>ADDIN CSL_CITATION {"citationItems":[{"id":"ITEM-1","itemData":{"DOI":"10.1074/jbc.M110.170944","ISSN":"0021-9258","PMID":"21349849","abstract":"A specific polymorphism in the hemochromatosis (HFE) gene, H63D, is over-represented in neurodegenerative disorders such as amyotrophic lateral sclerosis and Alzheimer disease. Mutations of HFE are best known as being associated with cellular iron overload, but the mechanism by which HFE H63D might increase the risk of neuron degeneration is unclear. Here, using an inducible expression cell model developed from a human neuronal cell line SH-SY5Y, we reported that the presence of the HFE H63D protein activated the unfolded protein response (UPR). This response was followed by a persistent endoplasmic reticulum (ER) stress, as the signals of UPR sensors attenuated and followed by up-regulation of caspase-3 cleavage and activity. Our in vitro findings were recapitulated in a transgenic mouse model carrying Hfe H67D, the mouse equivalent of the human H63D mutation. In this model, UPR activation was detected in the lumbar spinal cord at 6 months then declined at 12 months in association with increased caspase-3 cleavage. Moreover, upon the prolonged ER stress, the number of cells expressing HFE H63D in early apoptosis was increased moderately. Cell proliferation was decreased without increased cell death. Additionally, despite increased iron level in cells carrying HFE H63D, it appeared that ER stress was not responsive to the change of cellular iron status. Overall, our studies indicate that the HFE H63D mutant protein is associated with prolonged ER stress and chronically increased neuronal vulnerability.","author":[{"dropping-particle":"","family":"Liu","given":"Yiting","non-dropping-particle":"","parse-names":false,"suffix":""},{"dropping-particle":"","family":"Lee","given":"Sang Y.","non-dropping-particle":"","parse-names":false,"suffix":""},{"dropping-particle":"","family":"Neely","given":"Elizabeth","non-dropping-particle":"","parse-names":false,"suffix":""},{"dropping-particle":"","family":"Nandar","given":"Wint","non-dropping-particle":"","parse-names":false,"suffix":""},{"dropping-particle":"","family":"Moyo","given":"Mthabisi","non-dropping-particle":"","parse-names":false,"suffix":""},{"dropping-particle":"","family":"Simmons","given":"Zachary","non-dropping-particle":"","parse-names":false,"suffix":""},{"dropping-particle":"","family":"Connor","given":"James R.","non-dropping-particle":"","parse-names":false,"suffix":""}],"container-title":"Journal of Biological Chemistry","id":"ITEM-1","issue":"15","issued":{"date-parts":[["2011","4","15"]]},"page":"13161-13170","title":"Mutant HFE H63D Protein Is Associated with Prolonged Endoplasmic Reticulum Stress and Increased Neuronal Vulnerability","type":"article-journal","volume":"286"},"uris":["http://www.mendeley.com/documents/?uuid=de1f0393-1279-34d9-b684-21337ee09b91"]}],"mendeley":{"formattedCitation":"(Liu &lt;i&gt;et al.&lt;/i&gt; 2011)","plainTextFormattedCitation":"(Liu et al. 2011)","previouslyFormattedCitation":"(Liu &lt;i&gt;et al.&lt;/i&gt; 2011)"},"properties":{"noteIndex":0},"schema":"https://github.com/citation-style-language/schema/raw/master/csl-citation.json"}</w:instrText>
      </w:r>
      <w:r w:rsidR="003E6E5D" w:rsidRPr="003131ED">
        <w:rPr>
          <w:sz w:val="22"/>
          <w:szCs w:val="22"/>
        </w:rPr>
        <w:fldChar w:fldCharType="separate"/>
      </w:r>
      <w:r w:rsidR="00D86B9A" w:rsidRPr="003131ED">
        <w:rPr>
          <w:noProof/>
          <w:sz w:val="22"/>
          <w:szCs w:val="22"/>
        </w:rPr>
        <w:t xml:space="preserve">(Liu </w:t>
      </w:r>
      <w:r w:rsidR="00D86B9A" w:rsidRPr="003131ED">
        <w:rPr>
          <w:i/>
          <w:noProof/>
          <w:sz w:val="22"/>
          <w:szCs w:val="22"/>
        </w:rPr>
        <w:t>et al.</w:t>
      </w:r>
      <w:r w:rsidR="00D86B9A" w:rsidRPr="003131ED">
        <w:rPr>
          <w:noProof/>
          <w:sz w:val="22"/>
          <w:szCs w:val="22"/>
        </w:rPr>
        <w:t xml:space="preserve"> 2011)</w:t>
      </w:r>
      <w:r w:rsidR="003E6E5D" w:rsidRPr="003131ED">
        <w:rPr>
          <w:sz w:val="22"/>
          <w:szCs w:val="22"/>
        </w:rPr>
        <w:fldChar w:fldCharType="end"/>
      </w:r>
      <w:r w:rsidR="00503813" w:rsidRPr="003131ED">
        <w:rPr>
          <w:sz w:val="22"/>
          <w:szCs w:val="22"/>
        </w:rPr>
        <w:t>.</w:t>
      </w:r>
      <w:r w:rsidR="00997D9F" w:rsidRPr="003131ED">
        <w:rPr>
          <w:sz w:val="22"/>
          <w:szCs w:val="22"/>
        </w:rPr>
        <w:t xml:space="preserve"> </w:t>
      </w:r>
      <w:r w:rsidR="00AE496C" w:rsidRPr="003131ED">
        <w:rPr>
          <w:sz w:val="22"/>
          <w:szCs w:val="22"/>
        </w:rPr>
        <w:t xml:space="preserve">Furthermore, we showed that REDD1 knockdown decreases the autophagic flux and increases </w:t>
      </w:r>
      <w:r w:rsidR="00AE496C" w:rsidRPr="003131ED">
        <w:rPr>
          <w:sz w:val="22"/>
          <w:szCs w:val="22"/>
        </w:rPr>
        <w:sym w:font="Symbol" w:char="F061"/>
      </w:r>
      <w:r w:rsidR="00AE496C" w:rsidRPr="003131ED">
        <w:rPr>
          <w:sz w:val="22"/>
          <w:szCs w:val="22"/>
        </w:rPr>
        <w:t xml:space="preserve">-synuclein PFF toxicity for the H63D </w:t>
      </w:r>
      <w:r w:rsidR="00AE496C" w:rsidRPr="003131ED">
        <w:rPr>
          <w:i/>
          <w:sz w:val="22"/>
          <w:szCs w:val="22"/>
        </w:rPr>
        <w:t>HFE</w:t>
      </w:r>
      <w:r w:rsidR="00AE496C" w:rsidRPr="003131ED">
        <w:rPr>
          <w:sz w:val="22"/>
          <w:szCs w:val="22"/>
        </w:rPr>
        <w:t xml:space="preserve"> cells. </w:t>
      </w:r>
      <w:r w:rsidR="00503813" w:rsidRPr="003131ED">
        <w:rPr>
          <w:sz w:val="22"/>
          <w:szCs w:val="22"/>
        </w:rPr>
        <w:t xml:space="preserve">Taken together, our data show that elevated autophagy through REDD1 inhibition of mTORC1 in H63D </w:t>
      </w:r>
      <w:r w:rsidR="00503813" w:rsidRPr="003131ED">
        <w:rPr>
          <w:i/>
          <w:sz w:val="22"/>
          <w:szCs w:val="22"/>
        </w:rPr>
        <w:t xml:space="preserve">HFE </w:t>
      </w:r>
      <w:r w:rsidR="00503813" w:rsidRPr="003131ED">
        <w:rPr>
          <w:sz w:val="22"/>
          <w:szCs w:val="22"/>
        </w:rPr>
        <w:t xml:space="preserve">cells is </w:t>
      </w:r>
      <w:r w:rsidR="00AE496C" w:rsidRPr="003131ED">
        <w:rPr>
          <w:sz w:val="22"/>
          <w:szCs w:val="22"/>
        </w:rPr>
        <w:t xml:space="preserve">directly </w:t>
      </w:r>
      <w:r w:rsidR="00C7188E" w:rsidRPr="003131ED">
        <w:rPr>
          <w:sz w:val="22"/>
          <w:szCs w:val="22"/>
        </w:rPr>
        <w:t xml:space="preserve">responsible for the </w:t>
      </w:r>
      <w:r w:rsidR="00940488" w:rsidRPr="003131ED">
        <w:rPr>
          <w:sz w:val="22"/>
          <w:szCs w:val="22"/>
        </w:rPr>
        <w:t xml:space="preserve">reduction in </w:t>
      </w:r>
      <w:r w:rsidR="00C7188E" w:rsidRPr="003131ED">
        <w:rPr>
          <w:sz w:val="22"/>
          <w:szCs w:val="22"/>
        </w:rPr>
        <w:t>α-synuc</w:t>
      </w:r>
      <w:r w:rsidR="00364166" w:rsidRPr="003131ED">
        <w:rPr>
          <w:sz w:val="22"/>
          <w:szCs w:val="22"/>
        </w:rPr>
        <w:t xml:space="preserve">lein </w:t>
      </w:r>
      <w:r w:rsidR="00940488" w:rsidRPr="003131ED">
        <w:rPr>
          <w:sz w:val="22"/>
          <w:szCs w:val="22"/>
        </w:rPr>
        <w:t xml:space="preserve">PFF toxicity. </w:t>
      </w:r>
    </w:p>
    <w:p w14:paraId="00397B8A" w14:textId="77777777" w:rsidR="00177143" w:rsidRPr="003131ED" w:rsidRDefault="00177143" w:rsidP="00D0468C">
      <w:pPr>
        <w:spacing w:line="360" w:lineRule="auto"/>
        <w:jc w:val="both"/>
        <w:rPr>
          <w:rFonts w:eastAsia="Arial"/>
          <w:b/>
          <w:sz w:val="22"/>
          <w:szCs w:val="22"/>
        </w:rPr>
      </w:pPr>
    </w:p>
    <w:p w14:paraId="4FD8BCC5" w14:textId="1070C6BE" w:rsidR="00503813" w:rsidRPr="003131ED" w:rsidRDefault="0057314F" w:rsidP="00D0468C">
      <w:pPr>
        <w:spacing w:line="360" w:lineRule="auto"/>
        <w:jc w:val="both"/>
        <w:rPr>
          <w:rFonts w:eastAsia="Arial"/>
          <w:sz w:val="22"/>
          <w:szCs w:val="22"/>
        </w:rPr>
      </w:pPr>
      <w:r w:rsidRPr="003131ED">
        <w:rPr>
          <w:rFonts w:eastAsia="Arial"/>
          <w:sz w:val="22"/>
          <w:szCs w:val="22"/>
        </w:rPr>
        <w:t xml:space="preserve">Because the H63D </w:t>
      </w:r>
      <w:r w:rsidRPr="003131ED">
        <w:rPr>
          <w:rFonts w:eastAsia="Arial"/>
          <w:i/>
          <w:sz w:val="22"/>
          <w:szCs w:val="22"/>
        </w:rPr>
        <w:t>HFE</w:t>
      </w:r>
      <w:r w:rsidRPr="003131ED">
        <w:rPr>
          <w:rFonts w:eastAsia="Arial"/>
          <w:sz w:val="22"/>
          <w:szCs w:val="22"/>
        </w:rPr>
        <w:t xml:space="preserve"> variant alters iron status and </w:t>
      </w:r>
      <w:r w:rsidRPr="003131ED">
        <w:rPr>
          <w:rFonts w:eastAsia="Arial"/>
          <w:sz w:val="22"/>
          <w:szCs w:val="22"/>
        </w:rPr>
        <w:sym w:font="Symbol" w:char="F061"/>
      </w:r>
      <w:r w:rsidRPr="003131ED">
        <w:rPr>
          <w:rFonts w:eastAsia="Arial"/>
          <w:sz w:val="22"/>
          <w:szCs w:val="22"/>
        </w:rPr>
        <w:t xml:space="preserve">-synuclein metabolism, we hypothesized that iron chelation therapy would be impacted by the presence of this genotype. </w:t>
      </w:r>
      <w:r w:rsidR="00503813" w:rsidRPr="003131ED">
        <w:rPr>
          <w:rFonts w:eastAsia="Arial"/>
          <w:sz w:val="22"/>
          <w:szCs w:val="22"/>
        </w:rPr>
        <w:t xml:space="preserve">Deferiprone </w:t>
      </w:r>
      <w:r w:rsidRPr="003131ED">
        <w:rPr>
          <w:rFonts w:eastAsia="Arial"/>
          <w:sz w:val="22"/>
          <w:szCs w:val="22"/>
        </w:rPr>
        <w:t xml:space="preserve">(DFP) </w:t>
      </w:r>
      <w:r w:rsidR="00503813" w:rsidRPr="003131ED">
        <w:rPr>
          <w:rFonts w:eastAsia="Arial"/>
          <w:sz w:val="22"/>
          <w:szCs w:val="22"/>
        </w:rPr>
        <w:t xml:space="preserve">is </w:t>
      </w:r>
      <w:r w:rsidRPr="003131ED">
        <w:rPr>
          <w:rFonts w:eastAsia="Arial"/>
          <w:sz w:val="22"/>
          <w:szCs w:val="22"/>
        </w:rPr>
        <w:t xml:space="preserve">an </w:t>
      </w:r>
      <w:r w:rsidR="00503813" w:rsidRPr="003131ED">
        <w:rPr>
          <w:rFonts w:eastAsia="Arial"/>
          <w:sz w:val="22"/>
          <w:szCs w:val="22"/>
        </w:rPr>
        <w:t xml:space="preserve">iron chelator that is under active investigation as a disease modifying therapy for Parkinson’s disease </w:t>
      </w:r>
      <w:r w:rsidR="000B2B59" w:rsidRPr="003131ED">
        <w:rPr>
          <w:rFonts w:eastAsia="Arial"/>
          <w:sz w:val="22"/>
          <w:szCs w:val="22"/>
        </w:rPr>
        <w:t>(Clinicaltrials.gov</w:t>
      </w:r>
      <w:r w:rsidR="00586050" w:rsidRPr="003131ED">
        <w:rPr>
          <w:rFonts w:eastAsia="Arial"/>
          <w:sz w:val="22"/>
          <w:szCs w:val="22"/>
        </w:rPr>
        <w:t xml:space="preserve"> </w:t>
      </w:r>
      <w:r w:rsidR="00C36C83" w:rsidRPr="003131ED">
        <w:rPr>
          <w:rFonts w:eastAsia="Arial"/>
          <w:sz w:val="22"/>
          <w:szCs w:val="22"/>
        </w:rPr>
        <w:t xml:space="preserve">Identifier: </w:t>
      </w:r>
      <w:r w:rsidR="000B2B59" w:rsidRPr="003131ED">
        <w:rPr>
          <w:rFonts w:eastAsia="Arial"/>
          <w:sz w:val="22"/>
          <w:szCs w:val="22"/>
        </w:rPr>
        <w:t>NCT02655315)</w:t>
      </w:r>
      <w:r w:rsidR="00503813" w:rsidRPr="003131ED">
        <w:rPr>
          <w:rFonts w:eastAsia="Arial"/>
          <w:sz w:val="22"/>
          <w:szCs w:val="22"/>
        </w:rPr>
        <w:t xml:space="preserve">. </w:t>
      </w:r>
      <w:r w:rsidRPr="003131ED">
        <w:rPr>
          <w:rFonts w:eastAsia="Arial"/>
          <w:sz w:val="22"/>
          <w:szCs w:val="22"/>
        </w:rPr>
        <w:t xml:space="preserve">DFP treatment has been shown to reduce brain iron levels by MTI </w:t>
      </w:r>
      <w:r w:rsidRPr="003131ED">
        <w:rPr>
          <w:rFonts w:eastAsia="Arial"/>
          <w:sz w:val="22"/>
          <w:szCs w:val="22"/>
        </w:rPr>
        <w:fldChar w:fldCharType="begin" w:fldLock="1"/>
      </w:r>
      <w:r w:rsidR="00D86B9A" w:rsidRPr="003131ED">
        <w:rPr>
          <w:rFonts w:eastAsia="Arial"/>
          <w:sz w:val="22"/>
          <w:szCs w:val="22"/>
        </w:rPr>
        <w:instrText>ADDIN CSL_CITATION {"citationItems":[{"id":"ITEM-1","itemData":{"DOI":"10.1089/ars.2013.5593","ISSN":"1557-7716","PMID":"24251381","abstract":"AIMS The pathophysiological role of iron in Parkinson's disease (PD) was assessed by a chelation strategy aimed at reducing oxidative damage associated with regional iron deposition without affecting circulating metals. Translational cell and animal models provided concept proofs and a delayed-start (DS) treatment paradigm, the basis for preliminary clinical assessments. RESULTS For translational studies, we assessed the effect of oxidative insults in mice systemically prechelated with deferiprone (DFP) by following motor functions, striatal dopamine (HPLC and MRI-PET), and brain iron deposition (relaxation-R2*-MRI) aided by spectroscopic measurements of neuronal labile iron (with fluorescence-sensitive iron sensors) and oxidative damage by markers of protein, lipid, and DNA modification. DFP significantly reduced labile iron and biological damage in oxidation-stressed cells and animals, improving motor functions while raising striatal dopamine. For a pilot, double-blind, placebo-controlled randomized clinical trial, early-stage Parkinson's patients on stabilized dopamine regimens enrolled in a 12-month single-center study with DFP (30 mg/kg/day). Based on a 6-month DS paradigm, early-start patients (n=19) compared to DS patients (n=18) (37/40 completed) responded significantly earlier and sustainably to treatment in both substantia nigra iron deposits (R2* MRI) and Unified Parkinson's Disease Rating Scale motor indicators of disease progression (p&lt;0.03 and p&lt;0.04, respectively). Apart from three rapidly resolved neutropenia cases, safety was maintained throughout the trial. INNOVATION A moderate iron chelation regimen that avoids changes in systemic iron levels may constitute a novel therapeutic modality for PD. CONCLUSIONS The therapeutic features of a chelation modality established in translational models and in pilot clinical trials warrant comprehensive evaluation of symptomatic and/or disease-modifying potential of chelation in PD.","author":[{"dropping-particle":"","family":"Devos","given":"David","non-dropping-particle":"","parse-names":false,"suffix":""},{"dropping-particle":"","family":"Moreau","given":"Caroline","non-dropping-particle":"","parse-names":false,"suffix":""},{"dropping-particle":"","family":"Devedjian","given":"Jean Christophe","non-dropping-particle":"","parse-names":false,"suffix":""},{"dropping-particle":"","family":"Kluza","given":"Jérome","non-dropping-particle":"","parse-names":false,"suffix":""},{"dropping-particle":"","family":"Petrault","given":"Maud","non-dropping-particle":"","parse-names":false,"suffix":""},{"dropping-particle":"","family":"Laloux","given":"Charlotte","non-dropping-particle":"","parse-names":false,"suffix":""},{"dropping-particle":"","family":"Jonneaux","given":"Aurélie","non-dropping-particle":"","parse-names":false,"suffix":""},{"dropping-particle":"","family":"Ryckewaert","given":"Gilles","non-dropping-particle":"","parse-names":false,"suffix":""},{"dropping-particle":"","family":"Garçon","given":"Guillaume","non-dropping-particle":"","parse-names":false,"suffix":""},{"dropping-particle":"","family":"Rouaix","given":"Nathalie","non-dropping-particle":"","parse-names":false,"suffix":""},{"dropping-particle":"","family":"Duhamel","given":"Alain","non-dropping-particle":"","parse-names":false,"suffix":""},{"dropping-particle":"","family":"Jissendi","given":"Patrice","non-dropping-particle":"","parse-names":false,"suffix":""},{"dropping-particle":"","family":"Dujardin","given":"Kathy","non-dropping-particle":"","parse-names":false,"suffix":""},{"dropping-particle":"","family":"Auger","given":"Florent","non-dropping-particle":"","parse-names":false,"suffix":""},{"dropping-particle":"","family":"Ravasi","given":"Laura","non-dropping-particle":"","parse-names":false,"suffix":""},{"dropping-particle":"","family":"Hopes","given":"Lucie","non-dropping-particle":"","parse-names":false,"suffix":""},{"dropping-particle":"","family":"Grolez","given":"Guillaume","non-dropping-particle":"","parse-names":false,"suffix":""},{"dropping-particle":"","family":"Firdaus","given":"Wance","non-dropping-particle":"","parse-names":false,"suffix":""},{"dropping-particle":"","family":"Sablonnière","given":"Bernard","non-dropping-particle":"","parse-names":false,"suffix":""},{"dropping-particle":"","family":"Strubi-Vuillaume","given":"Isabelle","non-dropping-particle":"","parse-names":false,"suffix":""},{"dropping-particle":"","family":"Zahr","given":"Noel","non-dropping-particle":"","parse-names":false,"suffix":""},{"dropping-particle":"","family":"Destée","given":"Alain","non-dropping-particle":"","parse-names":false,"suffix":""},{"dropping-particle":"","family":"Corvol","given":"Jean-Christophe","non-dropping-particle":"","parse-names":false,"suffix":""},{"dropping-particle":"","family":"Pöltl","given":"Dominik","non-dropping-particle":"","parse-names":false,"suffix":""},{"dropping-particle":"","family":"Leist","given":"Marcel","non-dropping-particle":"","parse-names":false,"suffix":""},{"dropping-particle":"","family":"Rose","given":"Christian","non-dropping-particle":"","parse-names":false,"suffix":""},{"dropping-particle":"","family":"Defebvre","given":"Luc","non-dropping-particle":"","parse-names":false,"suffix":""},{"dropping-particle":"","family":"Marchetti","given":"Philippe","non-dropping-particle":"","parse-names":false,"suffix":""},{"dropping-particle":"","family":"Cabantchik","given":"Z Ioav","non-dropping-particle":"","parse-names":false,"suffix":""},{"dropping-particle":"","family":"Bordet","given":"Régis","non-dropping-particle":"","parse-names":false,"suffix":""}],"container-title":"Antioxidants &amp; redox signaling","id":"ITEM-1","issue":"2","issued":{"date-parts":[["2014","7","10"]]},"page":"195-210","publisher":"Mary Ann Liebert, Inc.","title":"Targeting chelatable iron as a therapeutic modality in Parkinson's disease.","type":"article-journal","volume":"21"},"uris":["http://www.mendeley.com/documents/?uuid=f7e8ec3c-ce22-3306-a6b3-6b59a1c65946"]}],"mendeley":{"formattedCitation":"(Devos &lt;i&gt;et al.&lt;/i&gt; 2014)","plainTextFormattedCitation":"(Devos et al. 2014)","previouslyFormattedCitation":"(Devos &lt;i&gt;et al.&lt;/i&gt; 2014)"},"properties":{"noteIndex":0},"schema":"https://github.com/citation-style-language/schema/raw/master/csl-citation.json"}</w:instrText>
      </w:r>
      <w:r w:rsidRPr="003131ED">
        <w:rPr>
          <w:rFonts w:eastAsia="Arial"/>
          <w:sz w:val="22"/>
          <w:szCs w:val="22"/>
        </w:rPr>
        <w:fldChar w:fldCharType="separate"/>
      </w:r>
      <w:r w:rsidR="00D86B9A" w:rsidRPr="003131ED">
        <w:rPr>
          <w:rFonts w:eastAsia="Arial"/>
          <w:noProof/>
          <w:sz w:val="22"/>
          <w:szCs w:val="22"/>
        </w:rPr>
        <w:t xml:space="preserve">(Devos </w:t>
      </w:r>
      <w:r w:rsidR="00D86B9A" w:rsidRPr="003131ED">
        <w:rPr>
          <w:rFonts w:eastAsia="Arial"/>
          <w:i/>
          <w:noProof/>
          <w:sz w:val="22"/>
          <w:szCs w:val="22"/>
        </w:rPr>
        <w:t>et al.</w:t>
      </w:r>
      <w:r w:rsidR="00D86B9A" w:rsidRPr="003131ED">
        <w:rPr>
          <w:rFonts w:eastAsia="Arial"/>
          <w:noProof/>
          <w:sz w:val="22"/>
          <w:szCs w:val="22"/>
        </w:rPr>
        <w:t xml:space="preserve"> 2014)</w:t>
      </w:r>
      <w:r w:rsidRPr="003131ED">
        <w:rPr>
          <w:rFonts w:eastAsia="Arial"/>
          <w:sz w:val="22"/>
          <w:szCs w:val="22"/>
        </w:rPr>
        <w:fldChar w:fldCharType="end"/>
      </w:r>
      <w:r w:rsidRPr="003131ED">
        <w:rPr>
          <w:rFonts w:eastAsia="Arial"/>
          <w:sz w:val="22"/>
          <w:szCs w:val="22"/>
        </w:rPr>
        <w:t xml:space="preserve">. </w:t>
      </w:r>
      <w:r w:rsidR="00503813" w:rsidRPr="003131ED">
        <w:rPr>
          <w:rFonts w:eastAsia="Arial"/>
          <w:sz w:val="22"/>
          <w:szCs w:val="22"/>
        </w:rPr>
        <w:t xml:space="preserve">Preclinical models using 6-OHDA and MPTP have shown that DFP is neuroprotective </w:t>
      </w:r>
      <w:r w:rsidR="001853E4" w:rsidRPr="003131ED">
        <w:rPr>
          <w:rFonts w:eastAsia="Arial"/>
          <w:sz w:val="22"/>
          <w:szCs w:val="22"/>
        </w:rPr>
        <w:fldChar w:fldCharType="begin" w:fldLock="1"/>
      </w:r>
      <w:r w:rsidR="00D86B9A" w:rsidRPr="003131ED">
        <w:rPr>
          <w:rFonts w:eastAsia="Arial"/>
          <w:sz w:val="22"/>
          <w:szCs w:val="22"/>
        </w:rPr>
        <w:instrText>ADDIN CSL_CITATION {"citationItems":[{"id":"ITEM-1","itemData":{"DOI":"10.1089/ars.2013.5593","ISSN":"1557-7716","PMID":"24251381","abstract":"AIMS The pathophysiological role of iron in Parkinson's disease (PD) was assessed by a chelation strategy aimed at reducing oxidative damage associated with regional iron deposition without affecting circulating metals. Translational cell and animal models provided concept proofs and a delayed-start (DS) treatment paradigm, the basis for preliminary clinical assessments. RESULTS For translational studies, we assessed the effect of oxidative insults in mice systemically prechelated with deferiprone (DFP) by following motor functions, striatal dopamine (HPLC and MRI-PET), and brain iron deposition (relaxation-R2*-MRI) aided by spectroscopic measurements of neuronal labile iron (with fluorescence-sensitive iron sensors) and oxidative damage by markers of protein, lipid, and DNA modification. DFP significantly reduced labile iron and biological damage in oxidation-stressed cells and animals, improving motor functions while raising striatal dopamine. For a pilot, double-blind, placebo-controlled randomized clinical trial, early-stage Parkinson's patients on stabilized dopamine regimens enrolled in a 12-month single-center study with DFP (30 mg/kg/day). Based on a 6-month DS paradigm, early-start patients (n=19) compared to DS patients (n=18) (37/40 completed) responded significantly earlier and sustainably to treatment in both substantia nigra iron deposits (R2* MRI) and Unified Parkinson's Disease Rating Scale motor indicators of disease progression (p&lt;0.03 and p&lt;0.04, respectively). Apart from three rapidly resolved neutropenia cases, safety was maintained throughout the trial. INNOVATION A moderate iron chelation regimen that avoids changes in systemic iron levels may constitute a novel therapeutic modality for PD. CONCLUSIONS The therapeutic features of a chelation modality established in translational models and in pilot clinical trials warrant comprehensive evaluation of symptomatic and/or disease-modifying potential of chelation in PD.","author":[{"dropping-particle":"","family":"Devos","given":"David","non-dropping-particle":"","parse-names":false,"suffix":""},{"dropping-particle":"","family":"Moreau","given":"Caroline","non-dropping-particle":"","parse-names":false,"suffix":""},{"dropping-particle":"","family":"Devedjian","given":"Jean Christophe","non-dropping-particle":"","parse-names":false,"suffix":""},{"dropping-particle":"","family":"Kluza","given":"Jérome","non-dropping-particle":"","parse-names":false,"suffix":""},{"dropping-particle":"","family":"Petrault","given":"Maud","non-dropping-particle":"","parse-names":false,"suffix":""},{"dropping-particle":"","family":"Laloux","given":"Charlotte","non-dropping-particle":"","parse-names":false,"suffix":""},{"dropping-particle":"","family":"Jonneaux","given":"Aurélie","non-dropping-particle":"","parse-names":false,"suffix":""},{"dropping-particle":"","family":"Ryckewaert","given":"Gilles","non-dropping-particle":"","parse-names":false,"suffix":""},{"dropping-particle":"","family":"Garçon","given":"Guillaume","non-dropping-particle":"","parse-names":false,"suffix":""},{"dropping-particle":"","family":"Rouaix","given":"Nathalie","non-dropping-particle":"","parse-names":false,"suffix":""},{"dropping-particle":"","family":"Duhamel","given":"Alain","non-dropping-particle":"","parse-names":false,"suffix":""},{"dropping-particle":"","family":"Jissendi","given":"Patrice","non-dropping-particle":"","parse-names":false,"suffix":""},{"dropping-particle":"","family":"Dujardin","given":"Kathy","non-dropping-particle":"","parse-names":false,"suffix":""},{"dropping-particle":"","family":"Auger","given":"Florent","non-dropping-particle":"","parse-names":false,"suffix":""},{"dropping-particle":"","family":"Ravasi","given":"Laura","non-dropping-particle":"","parse-names":false,"suffix":""},{"dropping-particle":"","family":"Hopes","given":"Lucie","non-dropping-particle":"","parse-names":false,"suffix":""},{"dropping-particle":"","family":"Grolez","given":"Guillaume","non-dropping-particle":"","parse-names":false,"suffix":""},{"dropping-particle":"","family":"Firdaus","given":"Wance","non-dropping-particle":"","parse-names":false,"suffix":""},{"dropping-particle":"","family":"Sablonnière","given":"Bernard","non-dropping-particle":"","parse-names":false,"suffix":""},{"dropping-particle":"","family":"Strubi-Vuillaume","given":"Isabelle","non-dropping-particle":"","parse-names":false,"suffix":""},{"dropping-particle":"","family":"Zahr","given":"Noel","non-dropping-particle":"","parse-names":false,"suffix":""},{"dropping-particle":"","family":"Destée","given":"Alain","non-dropping-particle":"","parse-names":false,"suffix":""},{"dropping-particle":"","family":"Corvol","given":"Jean-Christophe","non-dropping-particle":"","parse-names":false,"suffix":""},{"dropping-particle":"","family":"Pöltl","given":"Dominik","non-dropping-particle":"","parse-names":false,"suffix":""},{"dropping-particle":"","family":"Leist","given":"Marcel","non-dropping-particle":"","parse-names":false,"suffix":""},{"dropping-particle":"","family":"Rose","given":"Christian","non-dropping-particle":"","parse-names":false,"suffix":""},{"dropping-particle":"","family":"Defebvre","given":"Luc","non-dropping-particle":"","parse-names":false,"suffix":""},{"dropping-particle":"","family":"Marchetti","given":"Philippe","non-dropping-particle":"","parse-names":false,"suffix":""},{"dropping-particle":"","family":"Cabantchik","given":"Z Ioav","non-dropping-particle":"","parse-names":false,"suffix":""},{"dropping-particle":"","family":"Bordet","given":"Régis","non-dropping-particle":"","parse-names":false,"suffix":""}],"container-title":"Antioxidants &amp; redox signaling","id":"ITEM-1","issue":"2","issued":{"date-parts":[["2014","7","10"]]},"page":"195-210","publisher":"Mary Ann Liebert, Inc.","title":"Targeting chelatable iron as a therapeutic modality in Parkinson's disease.","type":"article-journal","volume":"21"},"uris":["http://www.mendeley.com/documents/?uuid=f7e8ec3c-ce22-3306-a6b3-6b59a1c65946"]},{"id":"ITEM-2","itemData":{"DOI":"10.1007/s00702-010-0531-3","ISSN":"1435-1463","PMID":"21165659","abstract":"The iron content of the substantia nigra pars compacta increases in the brains of Parkinson's disease patients. Hence, its removal by iron chelators may retard the progression of the disease. However, information on the ability of clinically available iron chelators to cross the blood brain barrier and be neuroprotective is limited. In this present study three iron chelators, which are currently approved for clinical use, namely the hexadendate, deferrioxamine, the bidentate deferiprone and the tridendate chelator deferasirox have been investigated for their efficacy to induce neuroprotection. Previous studies have shown that both deferiprone and deferrioxamine exert neuroprotection in the 6-hydroxy dopamine (6-OHDA) model but no such studies have investigated deferasirox. Focal administration of deferasirox (0.5, 2 and 10 μg) into the substantia nigra pars compacta of rats significantly attenuated the loss of dopaminergic neurons and striatal dopamine content resulting from 6-OHDA toxicity. Systemic administration of deferasirox (20 mg/kg), deferiprone (10 mg/kg) or deferrioxamine (30 mg/kg), to the 6-OHDA rat model of Parkinson's disease, significantly attenuated the loss of dopaminergic neurons and striatal dopamine content. Further studies to comprehend the action of these chelators showed that local application of either 0.4 mM deferrioxamine, or 1 mM deferasirox, via a microdialysis probe into the striatum, prior to that of 200 μM 6-OHDA, prevented the generation of hydroxyl radicals. Our results confirm that the administration of these chelators show therapeutic efficacy and should be considered as therapeutic agents for the treatment of Parkinson's disease.","author":[{"dropping-particle":"","family":"Dexter","given":"David T","non-dropping-particle":"","parse-names":false,"suffix":""},{"dropping-particle":"","family":"Statton","given":"Sarah A","non-dropping-particle":"","parse-names":false,"suffix":""},{"dropping-particle":"","family":"Whitmore","given":"Charlotte","non-dropping-particle":"","parse-names":false,"suffix":""},{"dropping-particle":"","family":"Freinbichler","given":"Wolfhardt","non-dropping-particle":"","parse-names":false,"suffix":""},{"dropping-particle":"","family":"Weinberger","given":"Peter","non-dropping-particle":"","parse-names":false,"suffix":""},{"dropping-particle":"","family":"Tipton","given":"Keith F","non-dropping-particle":"","parse-names":false,"suffix":""},{"dropping-particle":"","family":"Corte","given":"Laura","non-dropping-particle":"Della","parse-names":false,"suffix":""},{"dropping-particle":"","family":"Ward","given":"Roberta J","non-dropping-particle":"","parse-names":false,"suffix":""},{"dropping-particle":"","family":"Crichton","given":"Robert R","non-dropping-particle":"","parse-names":false,"suffix":""}],"container-title":"Journal of neural transmission (Vienna, Austria : 1996)","id":"ITEM-2","issue":"2","issued":{"date-parts":[["2011","2"]]},"page":"223-31","title":"Clinically available iron chelators induce neuroprotection in the 6-OHDA model of Parkinson's disease after peripheral administration.","type":"article-journal","volume":"118"},"uris":["http://www.mendeley.com/documents/?uuid=cbba9f7e-59fa-320a-9f68-832ed64d58ce"]}],"mendeley":{"formattedCitation":"(Devos &lt;i&gt;et al.&lt;/i&gt; 2014; Dexter &lt;i&gt;et al.&lt;/i&gt; 2011)","plainTextFormattedCitation":"(Devos et al. 2014; Dexter et al. 2011)","previouslyFormattedCitation":"(Devos &lt;i&gt;et al.&lt;/i&gt; 2014; Dexter &lt;i&gt;et al.&lt;/i&gt; 2011)"},"properties":{"noteIndex":0},"schema":"https://github.com/citation-style-language/schema/raw/master/csl-citation.json"}</w:instrText>
      </w:r>
      <w:r w:rsidR="001853E4" w:rsidRPr="003131ED">
        <w:rPr>
          <w:rFonts w:eastAsia="Arial"/>
          <w:sz w:val="22"/>
          <w:szCs w:val="22"/>
        </w:rPr>
        <w:fldChar w:fldCharType="separate"/>
      </w:r>
      <w:r w:rsidR="00D86B9A" w:rsidRPr="003131ED">
        <w:rPr>
          <w:rFonts w:eastAsia="Arial"/>
          <w:noProof/>
          <w:sz w:val="22"/>
          <w:szCs w:val="22"/>
        </w:rPr>
        <w:t xml:space="preserve">(Devos </w:t>
      </w:r>
      <w:r w:rsidR="00D86B9A" w:rsidRPr="003131ED">
        <w:rPr>
          <w:rFonts w:eastAsia="Arial"/>
          <w:i/>
          <w:noProof/>
          <w:sz w:val="22"/>
          <w:szCs w:val="22"/>
        </w:rPr>
        <w:t>et al.</w:t>
      </w:r>
      <w:r w:rsidR="00D86B9A" w:rsidRPr="003131ED">
        <w:rPr>
          <w:rFonts w:eastAsia="Arial"/>
          <w:noProof/>
          <w:sz w:val="22"/>
          <w:szCs w:val="22"/>
        </w:rPr>
        <w:t xml:space="preserve"> 2014; Dexter </w:t>
      </w:r>
      <w:r w:rsidR="00D86B9A" w:rsidRPr="003131ED">
        <w:rPr>
          <w:rFonts w:eastAsia="Arial"/>
          <w:i/>
          <w:noProof/>
          <w:sz w:val="22"/>
          <w:szCs w:val="22"/>
        </w:rPr>
        <w:t>et al.</w:t>
      </w:r>
      <w:r w:rsidR="00D86B9A" w:rsidRPr="003131ED">
        <w:rPr>
          <w:rFonts w:eastAsia="Arial"/>
          <w:noProof/>
          <w:sz w:val="22"/>
          <w:szCs w:val="22"/>
        </w:rPr>
        <w:t xml:space="preserve"> 2011)</w:t>
      </w:r>
      <w:r w:rsidR="001853E4" w:rsidRPr="003131ED">
        <w:rPr>
          <w:rFonts w:eastAsia="Arial"/>
          <w:sz w:val="22"/>
          <w:szCs w:val="22"/>
        </w:rPr>
        <w:fldChar w:fldCharType="end"/>
      </w:r>
      <w:r w:rsidR="00503813" w:rsidRPr="003131ED">
        <w:rPr>
          <w:rFonts w:eastAsia="Arial"/>
          <w:sz w:val="22"/>
          <w:szCs w:val="22"/>
        </w:rPr>
        <w:t>. While th</w:t>
      </w:r>
      <w:r w:rsidR="00F7372C" w:rsidRPr="003131ED">
        <w:rPr>
          <w:rFonts w:eastAsia="Arial"/>
          <w:sz w:val="22"/>
          <w:szCs w:val="22"/>
        </w:rPr>
        <w:t xml:space="preserve">ose </w:t>
      </w:r>
      <w:r w:rsidR="00503813" w:rsidRPr="003131ED">
        <w:rPr>
          <w:rFonts w:eastAsia="Arial"/>
          <w:sz w:val="22"/>
          <w:szCs w:val="22"/>
        </w:rPr>
        <w:t xml:space="preserve">neurotoxins cause dopaminergic neuronal cell death, they fail to model </w:t>
      </w:r>
      <w:r w:rsidR="00503813" w:rsidRPr="003131ED">
        <w:rPr>
          <w:rFonts w:eastAsia="Arial"/>
          <w:sz w:val="22"/>
          <w:szCs w:val="22"/>
        </w:rPr>
        <w:sym w:font="Symbol" w:char="F061"/>
      </w:r>
      <w:r w:rsidR="00503813" w:rsidRPr="003131ED">
        <w:rPr>
          <w:rFonts w:eastAsia="Arial"/>
          <w:sz w:val="22"/>
          <w:szCs w:val="22"/>
        </w:rPr>
        <w:t xml:space="preserve">-synuclein aggregation. Using PFFs, we showed that DFP is </w:t>
      </w:r>
      <w:r w:rsidR="00503813" w:rsidRPr="003131ED">
        <w:rPr>
          <w:rFonts w:eastAsia="Arial"/>
          <w:sz w:val="22"/>
          <w:szCs w:val="22"/>
        </w:rPr>
        <w:lastRenderedPageBreak/>
        <w:t xml:space="preserve">effective in reducing </w:t>
      </w:r>
      <w:r w:rsidR="00503813" w:rsidRPr="003131ED">
        <w:rPr>
          <w:rFonts w:eastAsia="Arial"/>
          <w:sz w:val="22"/>
          <w:szCs w:val="22"/>
        </w:rPr>
        <w:sym w:font="Symbol" w:char="F061"/>
      </w:r>
      <w:r w:rsidR="00503813" w:rsidRPr="003131ED">
        <w:rPr>
          <w:rFonts w:eastAsia="Arial"/>
          <w:sz w:val="22"/>
          <w:szCs w:val="22"/>
        </w:rPr>
        <w:t xml:space="preserve">-synuclein aggregation and protecting from cell death in WT </w:t>
      </w:r>
      <w:r w:rsidR="00503813" w:rsidRPr="003131ED">
        <w:rPr>
          <w:rFonts w:eastAsia="Arial"/>
          <w:i/>
          <w:sz w:val="22"/>
          <w:szCs w:val="22"/>
        </w:rPr>
        <w:t>HFE</w:t>
      </w:r>
      <w:r w:rsidR="00503813" w:rsidRPr="003131ED">
        <w:rPr>
          <w:rFonts w:eastAsia="Arial"/>
          <w:sz w:val="22"/>
          <w:szCs w:val="22"/>
        </w:rPr>
        <w:t xml:space="preserve"> expressing cells but </w:t>
      </w:r>
      <w:r w:rsidR="00DB303E" w:rsidRPr="003131ED">
        <w:rPr>
          <w:rFonts w:eastAsia="Arial"/>
          <w:sz w:val="22"/>
          <w:szCs w:val="22"/>
        </w:rPr>
        <w:t xml:space="preserve">had </w:t>
      </w:r>
      <w:r w:rsidR="00503813" w:rsidRPr="003131ED">
        <w:rPr>
          <w:rFonts w:eastAsia="Arial"/>
          <w:sz w:val="22"/>
          <w:szCs w:val="22"/>
        </w:rPr>
        <w:t>mixed effect</w:t>
      </w:r>
      <w:r w:rsidR="00DB303E" w:rsidRPr="003131ED">
        <w:rPr>
          <w:rFonts w:eastAsia="Arial"/>
          <w:sz w:val="22"/>
          <w:szCs w:val="22"/>
        </w:rPr>
        <w:t>s</w:t>
      </w:r>
      <w:r w:rsidR="00503813" w:rsidRPr="003131ED">
        <w:rPr>
          <w:rFonts w:eastAsia="Arial"/>
          <w:sz w:val="22"/>
          <w:szCs w:val="22"/>
        </w:rPr>
        <w:t xml:space="preserve"> in the </w:t>
      </w:r>
      <w:r w:rsidR="00053185" w:rsidRPr="003131ED">
        <w:rPr>
          <w:rFonts w:eastAsia="Arial"/>
          <w:sz w:val="22"/>
          <w:szCs w:val="22"/>
        </w:rPr>
        <w:t xml:space="preserve">H63D </w:t>
      </w:r>
      <w:r w:rsidR="00053185" w:rsidRPr="003131ED">
        <w:rPr>
          <w:rFonts w:eastAsia="Arial"/>
          <w:i/>
          <w:sz w:val="22"/>
          <w:szCs w:val="22"/>
        </w:rPr>
        <w:t>HFE</w:t>
      </w:r>
      <w:r w:rsidR="00053185" w:rsidRPr="003131ED">
        <w:rPr>
          <w:rFonts w:eastAsia="Arial"/>
          <w:sz w:val="22"/>
          <w:szCs w:val="22"/>
        </w:rPr>
        <w:t xml:space="preserve"> </w:t>
      </w:r>
      <w:r w:rsidR="00503813" w:rsidRPr="003131ED">
        <w:rPr>
          <w:rFonts w:eastAsia="Arial"/>
          <w:sz w:val="22"/>
          <w:szCs w:val="22"/>
        </w:rPr>
        <w:t xml:space="preserve">cells which mirrored changes in autophagy. </w:t>
      </w:r>
      <w:r w:rsidR="00423254" w:rsidRPr="003131ED">
        <w:rPr>
          <w:rFonts w:eastAsia="Arial"/>
          <w:sz w:val="22"/>
          <w:szCs w:val="22"/>
        </w:rPr>
        <w:t xml:space="preserve">In H63D </w:t>
      </w:r>
      <w:r w:rsidR="00423254" w:rsidRPr="003131ED">
        <w:rPr>
          <w:rFonts w:eastAsia="Arial"/>
          <w:i/>
          <w:sz w:val="22"/>
          <w:szCs w:val="22"/>
        </w:rPr>
        <w:t xml:space="preserve">HFE </w:t>
      </w:r>
      <w:r w:rsidR="00423254" w:rsidRPr="003131ED">
        <w:rPr>
          <w:rFonts w:eastAsia="Arial"/>
          <w:sz w:val="22"/>
          <w:szCs w:val="22"/>
        </w:rPr>
        <w:t xml:space="preserve">cells, the decrease in autophagy with low dose of DFP treatment could be due to the loss of increase in intracellular iron from the </w:t>
      </w:r>
      <w:r w:rsidR="00423254" w:rsidRPr="003131ED">
        <w:rPr>
          <w:rFonts w:eastAsia="Arial"/>
          <w:i/>
          <w:sz w:val="22"/>
          <w:szCs w:val="22"/>
        </w:rPr>
        <w:t>HFE</w:t>
      </w:r>
      <w:r w:rsidR="00423254" w:rsidRPr="003131ED">
        <w:rPr>
          <w:rFonts w:eastAsia="Arial"/>
          <w:sz w:val="22"/>
          <w:szCs w:val="22"/>
        </w:rPr>
        <w:t xml:space="preserve"> variant. With higher dose of DFP, cellular iron deficiency can be achieved leading to autophagy induction.</w:t>
      </w:r>
      <w:r w:rsidR="003D2284" w:rsidRPr="003131ED">
        <w:rPr>
          <w:rFonts w:eastAsia="Arial"/>
          <w:sz w:val="22"/>
          <w:szCs w:val="22"/>
        </w:rPr>
        <w:t xml:space="preserve"> </w:t>
      </w:r>
      <w:r w:rsidR="00503813" w:rsidRPr="003131ED">
        <w:rPr>
          <w:rFonts w:eastAsia="Arial"/>
          <w:sz w:val="22"/>
          <w:szCs w:val="22"/>
        </w:rPr>
        <w:t>The pilot</w:t>
      </w:r>
      <w:r w:rsidR="003D2284" w:rsidRPr="003131ED">
        <w:rPr>
          <w:rFonts w:eastAsia="Arial"/>
          <w:sz w:val="22"/>
          <w:szCs w:val="22"/>
        </w:rPr>
        <w:t xml:space="preserve"> </w:t>
      </w:r>
      <w:r w:rsidR="00503813" w:rsidRPr="003131ED">
        <w:rPr>
          <w:rFonts w:eastAsia="Arial"/>
          <w:sz w:val="22"/>
          <w:szCs w:val="22"/>
        </w:rPr>
        <w:t>clinical</w:t>
      </w:r>
      <w:r w:rsidR="003D2284" w:rsidRPr="003131ED">
        <w:rPr>
          <w:rFonts w:eastAsia="Arial"/>
          <w:sz w:val="22"/>
          <w:szCs w:val="22"/>
        </w:rPr>
        <w:t xml:space="preserve"> </w:t>
      </w:r>
      <w:r w:rsidR="00503813" w:rsidRPr="003131ED">
        <w:rPr>
          <w:rFonts w:eastAsia="Arial"/>
          <w:sz w:val="22"/>
          <w:szCs w:val="22"/>
        </w:rPr>
        <w:t xml:space="preserve">trials of DFP for </w:t>
      </w:r>
      <w:r w:rsidR="00EF064C" w:rsidRPr="003131ED">
        <w:rPr>
          <w:rFonts w:eastAsia="Arial"/>
          <w:sz w:val="22"/>
          <w:szCs w:val="22"/>
        </w:rPr>
        <w:t>Parkinson’s disease</w:t>
      </w:r>
      <w:r w:rsidR="00503813" w:rsidRPr="003131ED">
        <w:rPr>
          <w:rFonts w:eastAsia="Arial"/>
          <w:sz w:val="22"/>
          <w:szCs w:val="22"/>
        </w:rPr>
        <w:t xml:space="preserve"> have shown</w:t>
      </w:r>
      <w:r w:rsidR="004D137C" w:rsidRPr="003131ED">
        <w:rPr>
          <w:rFonts w:eastAsia="Arial"/>
          <w:sz w:val="22"/>
          <w:szCs w:val="22"/>
        </w:rPr>
        <w:t xml:space="preserve"> some efficacy</w:t>
      </w:r>
      <w:r w:rsidR="00503813" w:rsidRPr="003131ED">
        <w:rPr>
          <w:rFonts w:eastAsia="Arial"/>
          <w:sz w:val="22"/>
          <w:szCs w:val="22"/>
        </w:rPr>
        <w:t>. DFP treatment was shown to decrease brain iron content by MRI</w:t>
      </w:r>
      <w:r w:rsidR="004D137C" w:rsidRPr="003131ED">
        <w:rPr>
          <w:rFonts w:eastAsia="Arial"/>
          <w:sz w:val="22"/>
          <w:szCs w:val="22"/>
        </w:rPr>
        <w:t xml:space="preserve"> and improvement Unified Parkinson’s Disease Rating Scale part III scores</w:t>
      </w:r>
      <w:r w:rsidR="00497C14" w:rsidRPr="003131ED">
        <w:rPr>
          <w:rFonts w:eastAsia="Arial"/>
          <w:sz w:val="22"/>
          <w:szCs w:val="22"/>
        </w:rPr>
        <w:t xml:space="preserve"> </w:t>
      </w:r>
      <w:r w:rsidR="004D137C" w:rsidRPr="003131ED">
        <w:rPr>
          <w:rFonts w:eastAsia="Arial"/>
          <w:sz w:val="22"/>
          <w:szCs w:val="22"/>
        </w:rPr>
        <w:t xml:space="preserve">have been observed </w:t>
      </w:r>
      <w:r w:rsidR="00650AC6" w:rsidRPr="003131ED">
        <w:rPr>
          <w:rFonts w:eastAsia="Arial"/>
          <w:sz w:val="22"/>
          <w:szCs w:val="22"/>
        </w:rPr>
        <w:fldChar w:fldCharType="begin" w:fldLock="1"/>
      </w:r>
      <w:r w:rsidR="00D86B9A" w:rsidRPr="003131ED">
        <w:rPr>
          <w:rFonts w:eastAsia="Arial"/>
          <w:sz w:val="22"/>
          <w:szCs w:val="22"/>
        </w:rPr>
        <w:instrText>ADDIN CSL_CITATION {"citationItems":[{"id":"ITEM-1","itemData":{"DOI":"10.1038/s41598-017-01402-2","ISSN":"20452322","PMID":"28469157","abstract":"Parkinson's disease (PD) is associated with increased iron levels in the substantia nigra (SNc). This study evaluated whether the iron chelator, deferiprone, is well tolerated, able to chelate iron from various brain regions and improve PD symptomology. In a randomised double-blind, placebo controlled trial, 22 early onset PD patients, were administered deferiprone, 10 or 15 mg/kg BID or placebo, for 6 months. Patients were evaluated for PD severity, cognitive function, depression rating and quality of life. Iron concentrations were assessed in the substantia nigra (SNc), dentate and caudate nucleus, red nucleus, putamen and globus pallidus by T2* MRI at baseline and after 3 and 6 months of treatment. Deferiprone therapy was well tolerated and was associated with a reduced dentate and caudate nucleus iron content compared to placebo. Reductions in iron content of the SNc occurred in only 3 patients, with no changes being detected in the putamen or globus pallidus. Although 30 mg/kg deferiprone treated patients showed a trend for improvement in motor-UPDRS scores and quality of life, this did not reach significance. Cognitive function and mood were not adversely affected by deferiprone therapy. Such data supports more extensive clinical trials into the potential benefits of iron chelation in PD.","author":[{"dropping-particle":"","family":"Martin-Bastida","given":"Antonio","non-dropping-particle":"","parse-names":false,"suffix":""},{"dropping-particle":"","family":"Ward","given":"Roberta J.","non-dropping-particle":"","parse-names":false,"suffix":""},{"dropping-particle":"","family":"Newbould","given":"Rexford","non-dropping-particle":"","parse-names":false,"suffix":""},{"dropping-particle":"","family":"Piccini","given":"Paola","non-dropping-particle":"","parse-names":false,"suffix":""},{"dropping-particle":"","family":"Sharp","given":"David","non-dropping-particle":"","parse-names":false,"suffix":""},{"dropping-particle":"","family":"Kabba","given":"Christina","non-dropping-particle":"","parse-names":false,"suffix":""},{"dropping-particle":"","family":"Patel","given":"Maneesh C.","non-dropping-particle":"","parse-names":false,"suffix":""},{"dropping-particle":"","family":"Spino","given":"Michael","non-dropping-particle":"","parse-names":false,"suffix":""},{"dropping-particle":"","family":"Connelly","given":"John","non-dropping-particle":"","parse-names":false,"suffix":""},{"dropping-particle":"","family":"Tricta","given":"Fernando","non-dropping-particle":"","parse-names":false,"suffix":""},{"dropping-particle":"","family":"Crichton","given":"Robert R.","non-dropping-particle":"","parse-names":false,"suffix":""},{"dropping-particle":"","family":"Dexter","given":"David T.","non-dropping-particle":"","parse-names":false,"suffix":""}],"container-title":"Scientific Reports","id":"ITEM-1","issue":"1","issued":{"date-parts":[["2017","12","3"]]},"page":"1398","title":"Brain iron chelation by deferiprone in a phase 2 randomised double-blinded placebo controlled clinical trial in Parkinson's disease","type":"article-journal","volume":"7"},"uris":["http://www.mendeley.com/documents/?uuid=e6b1dd82-83d7-377e-adc2-d5a19e3fc26d"]},{"id":"ITEM-2","itemData":{"DOI":"10.1089/ars.2013.5593","ISSN":"1557-7716","PMID":"24251381","abstract":"AIMS The pathophysiological role of iron in Parkinson's disease (PD) was assessed by a chelation strategy aimed at reducing oxidative damage associated with regional iron deposition without affecting circulating metals. Translational cell and animal models provided concept proofs and a delayed-start (DS) treatment paradigm, the basis for preliminary clinical assessments. RESULTS For translational studies, we assessed the effect of oxidative insults in mice systemically prechelated with deferiprone (DFP) by following motor functions, striatal dopamine (HPLC and MRI-PET), and brain iron deposition (relaxation-R2*-MRI) aided by spectroscopic measurements of neuronal labile iron (with fluorescence-sensitive iron sensors) and oxidative damage by markers of protein, lipid, and DNA modification. DFP significantly reduced labile iron and biological damage in oxidation-stressed cells and animals, improving motor functions while raising striatal dopamine. For a pilot, double-blind, placebo-controlled randomized clinical trial, early-stage Parkinson's patients on stabilized dopamine regimens enrolled in a 12-month single-center study with DFP (30 mg/kg/day). Based on a 6-month DS paradigm, early-start patients (n=19) compared to DS patients (n=18) (37/40 completed) responded significantly earlier and sustainably to treatment in both substantia nigra iron deposits (R2* MRI) and Unified Parkinson's Disease Rating Scale motor indicators of disease progression (p&lt;0.03 and p&lt;0.04, respectively). Apart from three rapidly resolved neutropenia cases, safety was maintained throughout the trial. INNOVATION A moderate iron chelation regimen that avoids changes in systemic iron levels may constitute a novel therapeutic modality for PD. CONCLUSIONS The therapeutic features of a chelation modality established in translational models and in pilot clinical trials warrant comprehensive evaluation of symptomatic and/or disease-modifying potential of chelation in PD.","author":[{"dropping-particle":"","family":"Devos","given":"David","non-dropping-particle":"","parse-names":false,"suffix":""},{"dropping-particle":"","family":"Moreau","given":"Caroline","non-dropping-particle":"","parse-names":false,"suffix":""},{"dropping-particle":"","family":"Devedjian","given":"Jean Christophe","non-dropping-particle":"","parse-names":false,"suffix":""},{"dropping-particle":"","family":"Kluza","given":"Jérome","non-dropping-particle":"","parse-names":false,"suffix":""},{"dropping-particle":"","family":"Petrault","given":"Maud","non-dropping-particle":"","parse-names":false,"suffix":""},{"dropping-particle":"","family":"Laloux","given":"Charlotte","non-dropping-particle":"","parse-names":false,"suffix":""},{"dropping-particle":"","family":"Jonneaux","given":"Aurélie","non-dropping-particle":"","parse-names":false,"suffix":""},{"dropping-particle":"","family":"Ryckewaert","given":"Gilles","non-dropping-particle":"","parse-names":false,"suffix":""},{"dropping-particle":"","family":"Garçon","given":"Guillaume","non-dropping-particle":"","parse-names":false,"suffix":""},{"dropping-particle":"","family":"Rouaix","given":"Nathalie","non-dropping-particle":"","parse-names":false,"suffix":""},{"dropping-particle":"","family":"Duhamel","given":"Alain","non-dropping-particle":"","parse-names":false,"suffix":""},{"dropping-particle":"","family":"Jissendi","given":"Patrice","non-dropping-particle":"","parse-names":false,"suffix":""},{"dropping-particle":"","family":"Dujardin","given":"Kathy","non-dropping-particle":"","parse-names":false,"suffix":""},{"dropping-particle":"","family":"Auger","given":"Florent","non-dropping-particle":"","parse-names":false,"suffix":""},{"dropping-particle":"","family":"Ravasi","given":"Laura","non-dropping-particle":"","parse-names":false,"suffix":""},{"dropping-particle":"","family":"Hopes","given":"Lucie","non-dropping-particle":"","parse-names":false,"suffix":""},{"dropping-particle":"","family":"Grolez","given":"Guillaume","non-dropping-particle":"","parse-names":false,"suffix":""},{"dropping-particle":"","family":"Firdaus","given":"Wance","non-dropping-particle":"","parse-names":false,"suffix":""},{"dropping-particle":"","family":"Sablonnière","given":"Bernard","non-dropping-particle":"","parse-names":false,"suffix":""},{"dropping-particle":"","family":"Strubi-Vuillaume","given":"Isabelle","non-dropping-particle":"","parse-names":false,"suffix":""},{"dropping-particle":"","family":"Zahr","given":"Noel","non-dropping-particle":"","parse-names":false,"suffix":""},{"dropping-particle":"","family":"Destée","given":"Alain","non-dropping-particle":"","parse-names":false,"suffix":""},{"dropping-particle":"","family":"Corvol","given":"Jean-Christophe","non-dropping-particle":"","parse-names":false,"suffix":""},{"dropping-particle":"","family":"Pöltl","given":"Dominik","non-dropping-particle":"","parse-names":false,"suffix":""},{"dropping-particle":"","family":"Leist","given":"Marcel","non-dropping-particle":"","parse-names":false,"suffix":""},{"dropping-particle":"","family":"Rose","given":"Christian","non-dropping-particle":"","parse-names":false,"suffix":""},{"dropping-particle":"","family":"Defebvre","given":"Luc","non-dropping-particle":"","parse-names":false,"suffix":""},{"dropping-particle":"","family":"Marchetti","given":"Philippe","non-dropping-particle":"","parse-names":false,"suffix":""},{"dropping-particle":"","family":"Cabantchik","given":"Z Ioav","non-dropping-particle":"","parse-names":false,"suffix":""},{"dropping-particle":"","family":"Bordet","given":"Régis","non-dropping-particle":"","parse-names":false,"suffix":""}],"container-title":"Antioxidants &amp; redox signaling","id":"ITEM-2","issue":"2","issued":{"date-parts":[["2014","7","10"]]},"page":"195-210","publisher":"Mary Ann Liebert, Inc.","title":"Targeting chelatable iron as a therapeutic modality in Parkinson's disease.","type":"article-journal","volume":"21"},"uris":["http://www.mendeley.com/documents/?uuid=f7e8ec3c-ce22-3306-a6b3-6b59a1c65946"]}],"mendeley":{"formattedCitation":"(Martin-Bastida &lt;i&gt;et al.&lt;/i&gt; 2017; Devos &lt;i&gt;et al.&lt;/i&gt; 2014)","plainTextFormattedCitation":"(Martin-Bastida et al. 2017; Devos et al. 2014)","previouslyFormattedCitation":"(Martin-Bastida &lt;i&gt;et al.&lt;/i&gt; 2017; Devos &lt;i&gt;et al.&lt;/i&gt; 2014)"},"properties":{"noteIndex":0},"schema":"https://github.com/citation-style-language/schema/raw/master/csl-citation.json"}</w:instrText>
      </w:r>
      <w:r w:rsidR="00650AC6" w:rsidRPr="003131ED">
        <w:rPr>
          <w:rFonts w:eastAsia="Arial"/>
          <w:sz w:val="22"/>
          <w:szCs w:val="22"/>
        </w:rPr>
        <w:fldChar w:fldCharType="separate"/>
      </w:r>
      <w:r w:rsidR="00D86B9A" w:rsidRPr="003131ED">
        <w:rPr>
          <w:rFonts w:eastAsia="Arial"/>
          <w:noProof/>
          <w:sz w:val="22"/>
          <w:szCs w:val="22"/>
        </w:rPr>
        <w:t xml:space="preserve">(Martin-Bastida </w:t>
      </w:r>
      <w:r w:rsidR="00D86B9A" w:rsidRPr="003131ED">
        <w:rPr>
          <w:rFonts w:eastAsia="Arial"/>
          <w:i/>
          <w:noProof/>
          <w:sz w:val="22"/>
          <w:szCs w:val="22"/>
        </w:rPr>
        <w:t>et al.</w:t>
      </w:r>
      <w:r w:rsidR="00D86B9A" w:rsidRPr="003131ED">
        <w:rPr>
          <w:rFonts w:eastAsia="Arial"/>
          <w:noProof/>
          <w:sz w:val="22"/>
          <w:szCs w:val="22"/>
        </w:rPr>
        <w:t xml:space="preserve"> 2017; Devos </w:t>
      </w:r>
      <w:r w:rsidR="00D86B9A" w:rsidRPr="003131ED">
        <w:rPr>
          <w:rFonts w:eastAsia="Arial"/>
          <w:i/>
          <w:noProof/>
          <w:sz w:val="22"/>
          <w:szCs w:val="22"/>
        </w:rPr>
        <w:t>et al.</w:t>
      </w:r>
      <w:r w:rsidR="00D86B9A" w:rsidRPr="003131ED">
        <w:rPr>
          <w:rFonts w:eastAsia="Arial"/>
          <w:noProof/>
          <w:sz w:val="22"/>
          <w:szCs w:val="22"/>
        </w:rPr>
        <w:t xml:space="preserve"> 2014)</w:t>
      </w:r>
      <w:r w:rsidR="00650AC6" w:rsidRPr="003131ED">
        <w:rPr>
          <w:rFonts w:eastAsia="Arial"/>
          <w:sz w:val="22"/>
          <w:szCs w:val="22"/>
        </w:rPr>
        <w:fldChar w:fldCharType="end"/>
      </w:r>
      <w:r w:rsidR="00503813" w:rsidRPr="003131ED">
        <w:rPr>
          <w:rFonts w:eastAsia="Arial"/>
          <w:sz w:val="22"/>
          <w:szCs w:val="22"/>
        </w:rPr>
        <w:t xml:space="preserve">. Our data suggest that stratifying the patients according to </w:t>
      </w:r>
      <w:r w:rsidR="005E5E26" w:rsidRPr="003131ED">
        <w:rPr>
          <w:rFonts w:eastAsia="Arial"/>
          <w:sz w:val="22"/>
          <w:szCs w:val="22"/>
        </w:rPr>
        <w:t xml:space="preserve">their </w:t>
      </w:r>
      <w:r w:rsidR="00503813" w:rsidRPr="003131ED">
        <w:rPr>
          <w:rFonts w:eastAsia="Arial"/>
          <w:i/>
          <w:sz w:val="22"/>
          <w:szCs w:val="22"/>
        </w:rPr>
        <w:t xml:space="preserve">HFE </w:t>
      </w:r>
      <w:r w:rsidR="00503813" w:rsidRPr="003131ED">
        <w:rPr>
          <w:rFonts w:eastAsia="Arial"/>
          <w:sz w:val="22"/>
          <w:szCs w:val="22"/>
        </w:rPr>
        <w:t xml:space="preserve">genotype could </w:t>
      </w:r>
      <w:r w:rsidR="004D137C" w:rsidRPr="003131ED">
        <w:rPr>
          <w:rFonts w:eastAsia="Arial"/>
          <w:sz w:val="22"/>
          <w:szCs w:val="22"/>
        </w:rPr>
        <w:t>further amplify the effects of the DFP treatment</w:t>
      </w:r>
      <w:r w:rsidR="00FD5D18" w:rsidRPr="003131ED">
        <w:rPr>
          <w:rFonts w:eastAsia="Arial"/>
          <w:sz w:val="22"/>
          <w:szCs w:val="22"/>
        </w:rPr>
        <w:t xml:space="preserve">, and likely other therapeutic </w:t>
      </w:r>
      <w:proofErr w:type="gramStart"/>
      <w:r w:rsidR="00FD5D18" w:rsidRPr="003131ED">
        <w:rPr>
          <w:rFonts w:eastAsia="Arial"/>
          <w:sz w:val="22"/>
          <w:szCs w:val="22"/>
        </w:rPr>
        <w:t xml:space="preserve">strategies, </w:t>
      </w:r>
      <w:r w:rsidR="004D137C" w:rsidRPr="003131ED">
        <w:rPr>
          <w:rFonts w:eastAsia="Arial"/>
          <w:sz w:val="22"/>
          <w:szCs w:val="22"/>
        </w:rPr>
        <w:t xml:space="preserve"> in</w:t>
      </w:r>
      <w:proofErr w:type="gramEnd"/>
      <w:r w:rsidR="004D137C" w:rsidRPr="003131ED">
        <w:rPr>
          <w:rFonts w:eastAsia="Arial"/>
          <w:sz w:val="22"/>
          <w:szCs w:val="22"/>
        </w:rPr>
        <w:t xml:space="preserve"> clinical trials and lead to personalized treatment strategies for Parkinson’s disease patients.</w:t>
      </w:r>
    </w:p>
    <w:p w14:paraId="43CCC456" w14:textId="77777777" w:rsidR="00341A43" w:rsidRPr="003131ED" w:rsidRDefault="00341A43" w:rsidP="00D0468C">
      <w:pPr>
        <w:spacing w:line="360" w:lineRule="auto"/>
        <w:jc w:val="both"/>
        <w:rPr>
          <w:rFonts w:eastAsia="Arial"/>
          <w:sz w:val="22"/>
          <w:szCs w:val="22"/>
        </w:rPr>
      </w:pPr>
    </w:p>
    <w:p w14:paraId="6547EB21" w14:textId="70BDB732" w:rsidR="00B456E7" w:rsidRPr="003131ED" w:rsidRDefault="00503813" w:rsidP="00D0468C">
      <w:pPr>
        <w:spacing w:line="360" w:lineRule="auto"/>
        <w:jc w:val="both"/>
        <w:rPr>
          <w:rFonts w:eastAsia="Arial"/>
          <w:sz w:val="22"/>
          <w:szCs w:val="22"/>
        </w:rPr>
      </w:pPr>
      <w:r w:rsidRPr="003131ED">
        <w:rPr>
          <w:rFonts w:eastAsia="Arial"/>
          <w:sz w:val="22"/>
          <w:szCs w:val="22"/>
        </w:rPr>
        <w:t xml:space="preserve">In conclusion, the findings presented in this study demonstrate that H63D </w:t>
      </w:r>
      <w:r w:rsidRPr="003131ED">
        <w:rPr>
          <w:rFonts w:eastAsia="Arial"/>
          <w:i/>
          <w:sz w:val="22"/>
          <w:szCs w:val="22"/>
        </w:rPr>
        <w:t>HFE</w:t>
      </w:r>
      <w:r w:rsidRPr="003131ED">
        <w:rPr>
          <w:rFonts w:eastAsia="Arial"/>
          <w:sz w:val="22"/>
          <w:szCs w:val="22"/>
        </w:rPr>
        <w:t xml:space="preserve"> variant has a significant impact on </w:t>
      </w:r>
      <w:r w:rsidRPr="003131ED">
        <w:rPr>
          <w:rFonts w:eastAsia="Arial"/>
          <w:sz w:val="22"/>
          <w:szCs w:val="22"/>
        </w:rPr>
        <w:sym w:font="Symbol" w:char="F061"/>
      </w:r>
      <w:r w:rsidRPr="003131ED">
        <w:rPr>
          <w:rFonts w:eastAsia="Arial"/>
          <w:sz w:val="22"/>
          <w:szCs w:val="22"/>
        </w:rPr>
        <w:t xml:space="preserve">-synuclein homeostasis of the cell through its modulation of autophagy, leading to protection in </w:t>
      </w:r>
      <w:r w:rsidR="001C61BD" w:rsidRPr="003131ED">
        <w:rPr>
          <w:rFonts w:eastAsia="Arial"/>
          <w:i/>
          <w:sz w:val="22"/>
          <w:szCs w:val="22"/>
        </w:rPr>
        <w:t>in vitro</w:t>
      </w:r>
      <w:r w:rsidR="001C61BD" w:rsidRPr="003131ED">
        <w:rPr>
          <w:rFonts w:eastAsia="Arial"/>
          <w:sz w:val="22"/>
          <w:szCs w:val="22"/>
        </w:rPr>
        <w:t xml:space="preserve"> </w:t>
      </w:r>
      <w:r w:rsidRPr="003131ED">
        <w:rPr>
          <w:rFonts w:eastAsia="Arial"/>
          <w:sz w:val="22"/>
          <w:szCs w:val="22"/>
        </w:rPr>
        <w:t xml:space="preserve">PFF model </w:t>
      </w:r>
      <w:r w:rsidR="001C61BD" w:rsidRPr="003131ED">
        <w:rPr>
          <w:rFonts w:eastAsia="Arial"/>
          <w:sz w:val="22"/>
          <w:szCs w:val="22"/>
        </w:rPr>
        <w:t xml:space="preserve">and </w:t>
      </w:r>
      <w:r w:rsidR="001C61BD" w:rsidRPr="003131ED">
        <w:rPr>
          <w:rFonts w:eastAsia="Arial"/>
          <w:i/>
          <w:sz w:val="22"/>
          <w:szCs w:val="22"/>
        </w:rPr>
        <w:t xml:space="preserve">in vivo </w:t>
      </w:r>
      <w:r w:rsidR="00E2705D" w:rsidRPr="003131ED">
        <w:rPr>
          <w:rFonts w:eastAsia="Arial"/>
          <w:sz w:val="22"/>
          <w:szCs w:val="22"/>
        </w:rPr>
        <w:t xml:space="preserve">PFF intracranial injection </w:t>
      </w:r>
      <w:r w:rsidR="001C61BD" w:rsidRPr="003131ED">
        <w:rPr>
          <w:rFonts w:eastAsia="Arial"/>
          <w:sz w:val="22"/>
          <w:szCs w:val="22"/>
        </w:rPr>
        <w:t xml:space="preserve">models of </w:t>
      </w:r>
      <w:r w:rsidRPr="003131ED">
        <w:rPr>
          <w:rFonts w:eastAsia="Arial"/>
          <w:sz w:val="22"/>
          <w:szCs w:val="22"/>
        </w:rPr>
        <w:t>Parkinson’s disease.</w:t>
      </w:r>
      <w:r w:rsidR="00475DCF" w:rsidRPr="003131ED">
        <w:rPr>
          <w:rFonts w:eastAsia="Arial"/>
          <w:sz w:val="22"/>
          <w:szCs w:val="22"/>
        </w:rPr>
        <w:t xml:space="preserve"> </w:t>
      </w:r>
      <w:r w:rsidR="00C16DBF" w:rsidRPr="003131ED">
        <w:rPr>
          <w:rFonts w:eastAsia="Arial"/>
          <w:sz w:val="22"/>
          <w:szCs w:val="22"/>
        </w:rPr>
        <w:t>D</w:t>
      </w:r>
      <w:r w:rsidRPr="003131ED">
        <w:rPr>
          <w:rFonts w:eastAsia="Arial"/>
          <w:sz w:val="22"/>
          <w:szCs w:val="22"/>
        </w:rPr>
        <w:t>eferiprone treatment</w:t>
      </w:r>
      <w:r w:rsidR="00A046AB" w:rsidRPr="003131ED">
        <w:rPr>
          <w:rFonts w:eastAsia="Arial"/>
          <w:sz w:val="22"/>
          <w:szCs w:val="22"/>
        </w:rPr>
        <w:t>, as expected,</w:t>
      </w:r>
      <w:r w:rsidR="007269DC" w:rsidRPr="003131ED">
        <w:rPr>
          <w:rFonts w:eastAsia="Arial"/>
          <w:sz w:val="22"/>
          <w:szCs w:val="22"/>
        </w:rPr>
        <w:t xml:space="preserve"> </w:t>
      </w:r>
      <w:r w:rsidRPr="003131ED">
        <w:rPr>
          <w:rFonts w:eastAsia="Arial"/>
          <w:sz w:val="22"/>
          <w:szCs w:val="22"/>
        </w:rPr>
        <w:t xml:space="preserve">was found to be effective in reducing </w:t>
      </w:r>
      <w:r w:rsidRPr="003131ED">
        <w:rPr>
          <w:rFonts w:eastAsia="Arial"/>
          <w:sz w:val="22"/>
          <w:szCs w:val="22"/>
        </w:rPr>
        <w:sym w:font="Symbol" w:char="F061"/>
      </w:r>
      <w:r w:rsidRPr="003131ED">
        <w:rPr>
          <w:rFonts w:eastAsia="Arial"/>
          <w:sz w:val="22"/>
          <w:szCs w:val="22"/>
        </w:rPr>
        <w:t>-synuclein aggregation and increasing cell viability</w:t>
      </w:r>
      <w:r w:rsidR="00A046AB" w:rsidRPr="003131ED">
        <w:rPr>
          <w:rFonts w:eastAsia="Arial"/>
          <w:sz w:val="22"/>
          <w:szCs w:val="22"/>
        </w:rPr>
        <w:t xml:space="preserve"> but </w:t>
      </w:r>
      <w:r w:rsidRPr="003131ED">
        <w:rPr>
          <w:rFonts w:eastAsia="Arial"/>
          <w:sz w:val="22"/>
          <w:szCs w:val="22"/>
        </w:rPr>
        <w:t xml:space="preserve">only with WT </w:t>
      </w:r>
      <w:r w:rsidRPr="003131ED">
        <w:rPr>
          <w:rFonts w:eastAsia="Arial"/>
          <w:i/>
          <w:sz w:val="22"/>
          <w:szCs w:val="22"/>
        </w:rPr>
        <w:t>HFE</w:t>
      </w:r>
      <w:r w:rsidRPr="003131ED">
        <w:rPr>
          <w:rFonts w:eastAsia="Arial"/>
          <w:sz w:val="22"/>
          <w:szCs w:val="22"/>
        </w:rPr>
        <w:t xml:space="preserve"> expression. </w:t>
      </w:r>
      <w:r w:rsidR="00A046AB" w:rsidRPr="003131ED">
        <w:rPr>
          <w:rFonts w:eastAsia="Arial"/>
          <w:sz w:val="22"/>
          <w:szCs w:val="22"/>
        </w:rPr>
        <w:t xml:space="preserve">Given the </w:t>
      </w:r>
      <w:r w:rsidRPr="003131ED">
        <w:rPr>
          <w:rFonts w:eastAsia="Arial"/>
          <w:sz w:val="22"/>
          <w:szCs w:val="22"/>
        </w:rPr>
        <w:t xml:space="preserve">high prevalence of H63D </w:t>
      </w:r>
      <w:r w:rsidRPr="003131ED">
        <w:rPr>
          <w:rFonts w:eastAsia="Arial"/>
          <w:i/>
          <w:sz w:val="22"/>
          <w:szCs w:val="22"/>
        </w:rPr>
        <w:t>HFE</w:t>
      </w:r>
      <w:r w:rsidRPr="003131ED">
        <w:rPr>
          <w:rFonts w:eastAsia="Arial"/>
          <w:sz w:val="22"/>
          <w:szCs w:val="22"/>
        </w:rPr>
        <w:t xml:space="preserve"> variant in the general population, our study establishes </w:t>
      </w:r>
      <w:r w:rsidRPr="003131ED">
        <w:rPr>
          <w:rFonts w:eastAsia="Arial"/>
          <w:i/>
          <w:sz w:val="22"/>
          <w:szCs w:val="22"/>
        </w:rPr>
        <w:t>HFE</w:t>
      </w:r>
      <w:r w:rsidRPr="003131ED">
        <w:rPr>
          <w:rFonts w:eastAsia="Arial"/>
          <w:sz w:val="22"/>
          <w:szCs w:val="22"/>
        </w:rPr>
        <w:t xml:space="preserve"> </w:t>
      </w:r>
      <w:r w:rsidR="00A046AB" w:rsidRPr="003131ED">
        <w:rPr>
          <w:rFonts w:eastAsia="Arial"/>
          <w:sz w:val="22"/>
          <w:szCs w:val="22"/>
        </w:rPr>
        <w:t xml:space="preserve">genotype </w:t>
      </w:r>
      <w:r w:rsidRPr="003131ED">
        <w:rPr>
          <w:rFonts w:eastAsia="Arial"/>
          <w:sz w:val="22"/>
          <w:szCs w:val="22"/>
        </w:rPr>
        <w:t>as a potential disease modifier of P</w:t>
      </w:r>
      <w:r w:rsidR="005976F4" w:rsidRPr="003131ED">
        <w:rPr>
          <w:rFonts w:eastAsia="Arial"/>
          <w:sz w:val="22"/>
          <w:szCs w:val="22"/>
        </w:rPr>
        <w:t>arkinson’s</w:t>
      </w:r>
      <w:r w:rsidR="004A4991" w:rsidRPr="003131ED">
        <w:rPr>
          <w:rFonts w:eastAsia="Arial"/>
          <w:sz w:val="22"/>
          <w:szCs w:val="22"/>
        </w:rPr>
        <w:t xml:space="preserve"> disease</w:t>
      </w:r>
      <w:r w:rsidR="007C37C6" w:rsidRPr="003131ED">
        <w:rPr>
          <w:rFonts w:eastAsia="Arial"/>
          <w:sz w:val="22"/>
          <w:szCs w:val="22"/>
        </w:rPr>
        <w:t xml:space="preserve">. </w:t>
      </w:r>
      <w:r w:rsidR="000A5644" w:rsidRPr="003131ED">
        <w:rPr>
          <w:rFonts w:eastAsia="Arial"/>
          <w:sz w:val="22"/>
          <w:szCs w:val="22"/>
        </w:rPr>
        <w:t xml:space="preserve">Furthermore, our findings </w:t>
      </w:r>
      <w:r w:rsidR="00A046AB" w:rsidRPr="003131ED">
        <w:rPr>
          <w:rFonts w:eastAsia="Arial"/>
          <w:sz w:val="22"/>
          <w:szCs w:val="22"/>
        </w:rPr>
        <w:t xml:space="preserve">argue for </w:t>
      </w:r>
      <w:r w:rsidRPr="003131ED">
        <w:rPr>
          <w:rFonts w:eastAsia="Arial"/>
          <w:sz w:val="22"/>
          <w:szCs w:val="22"/>
        </w:rPr>
        <w:t>the importance of</w:t>
      </w:r>
      <w:r w:rsidR="00A046AB" w:rsidRPr="003131ED">
        <w:rPr>
          <w:rFonts w:eastAsia="Arial"/>
          <w:sz w:val="22"/>
          <w:szCs w:val="22"/>
        </w:rPr>
        <w:t xml:space="preserve"> stratification by </w:t>
      </w:r>
      <w:r w:rsidRPr="003131ED">
        <w:rPr>
          <w:rFonts w:eastAsia="Arial"/>
          <w:i/>
          <w:sz w:val="22"/>
          <w:szCs w:val="22"/>
        </w:rPr>
        <w:t>HFE</w:t>
      </w:r>
      <w:r w:rsidRPr="003131ED">
        <w:rPr>
          <w:rFonts w:eastAsia="Arial"/>
          <w:sz w:val="22"/>
          <w:szCs w:val="22"/>
        </w:rPr>
        <w:t xml:space="preserve"> genotype for </w:t>
      </w:r>
      <w:r w:rsidR="00A046AB" w:rsidRPr="003131ED">
        <w:rPr>
          <w:rFonts w:eastAsia="Arial"/>
          <w:sz w:val="22"/>
          <w:szCs w:val="22"/>
        </w:rPr>
        <w:t xml:space="preserve">evaluation of therapeutic trials with </w:t>
      </w:r>
      <w:r w:rsidRPr="003131ED">
        <w:rPr>
          <w:rFonts w:eastAsia="Arial"/>
          <w:sz w:val="22"/>
          <w:szCs w:val="22"/>
        </w:rPr>
        <w:t xml:space="preserve">iron chelator therapy. </w:t>
      </w:r>
    </w:p>
    <w:p w14:paraId="62DF19CB" w14:textId="77777777" w:rsidR="007269DC" w:rsidRPr="003131ED" w:rsidRDefault="007269DC" w:rsidP="00D0468C">
      <w:pPr>
        <w:spacing w:line="360" w:lineRule="auto"/>
        <w:jc w:val="both"/>
        <w:rPr>
          <w:rFonts w:eastAsia="Arial"/>
          <w:sz w:val="22"/>
          <w:szCs w:val="22"/>
        </w:rPr>
      </w:pPr>
    </w:p>
    <w:p w14:paraId="3F2DBF9B" w14:textId="17EB8425" w:rsidR="00B456E7" w:rsidRPr="003131ED" w:rsidRDefault="007B1E32" w:rsidP="00D0468C">
      <w:pPr>
        <w:spacing w:line="360" w:lineRule="auto"/>
        <w:jc w:val="both"/>
        <w:rPr>
          <w:b/>
        </w:rPr>
      </w:pPr>
      <w:r w:rsidRPr="003131ED">
        <w:rPr>
          <w:b/>
        </w:rPr>
        <w:t>Acknowledgements</w:t>
      </w:r>
    </w:p>
    <w:p w14:paraId="1B1D0CEC" w14:textId="020DD178" w:rsidR="00A33EF9" w:rsidRPr="003131ED" w:rsidRDefault="000F2CD0" w:rsidP="000F2CD0">
      <w:pPr>
        <w:spacing w:line="360" w:lineRule="auto"/>
        <w:jc w:val="both"/>
        <w:rPr>
          <w:sz w:val="22"/>
          <w:szCs w:val="22"/>
        </w:rPr>
      </w:pPr>
      <w:r w:rsidRPr="003131ED">
        <w:rPr>
          <w:sz w:val="22"/>
          <w:szCs w:val="22"/>
        </w:rPr>
        <w:t xml:space="preserve">We thank </w:t>
      </w:r>
      <w:r w:rsidR="008010EE" w:rsidRPr="003131ED">
        <w:rPr>
          <w:sz w:val="22"/>
          <w:szCs w:val="22"/>
        </w:rPr>
        <w:t xml:space="preserve">the </w:t>
      </w:r>
      <w:r w:rsidR="00A33EF9" w:rsidRPr="003131ED">
        <w:rPr>
          <w:sz w:val="22"/>
          <w:szCs w:val="22"/>
        </w:rPr>
        <w:t>Penn State Flow Cytometry Core</w:t>
      </w:r>
      <w:r w:rsidRPr="003131ED">
        <w:rPr>
          <w:sz w:val="22"/>
          <w:szCs w:val="22"/>
        </w:rPr>
        <w:t xml:space="preserve"> for their technical support, </w:t>
      </w:r>
      <w:r w:rsidR="00CE119B" w:rsidRPr="003131ED">
        <w:rPr>
          <w:sz w:val="22"/>
          <w:szCs w:val="22"/>
        </w:rPr>
        <w:t>Sang Lee</w:t>
      </w:r>
      <w:r w:rsidRPr="003131ED">
        <w:rPr>
          <w:sz w:val="22"/>
          <w:szCs w:val="22"/>
        </w:rPr>
        <w:t xml:space="preserve">, Ph.D. for providing </w:t>
      </w:r>
      <w:r w:rsidRPr="003131ED">
        <w:rPr>
          <w:i/>
          <w:sz w:val="22"/>
          <w:szCs w:val="22"/>
        </w:rPr>
        <w:t>HFE</w:t>
      </w:r>
      <w:r w:rsidRPr="003131ED">
        <w:rPr>
          <w:sz w:val="22"/>
          <w:szCs w:val="22"/>
        </w:rPr>
        <w:t xml:space="preserve"> transfected SH-SY5Y cells</w:t>
      </w:r>
      <w:r w:rsidR="008010EE" w:rsidRPr="003131ED">
        <w:rPr>
          <w:sz w:val="22"/>
          <w:szCs w:val="22"/>
        </w:rPr>
        <w:t xml:space="preserve">, </w:t>
      </w:r>
      <w:r w:rsidRPr="003131ED">
        <w:rPr>
          <w:sz w:val="22"/>
          <w:szCs w:val="22"/>
        </w:rPr>
        <w:t xml:space="preserve">and </w:t>
      </w:r>
      <w:r w:rsidR="00A33EF9" w:rsidRPr="003131ED">
        <w:rPr>
          <w:sz w:val="22"/>
          <w:szCs w:val="22"/>
        </w:rPr>
        <w:t>Salvatore Stella, Jr.</w:t>
      </w:r>
      <w:r w:rsidRPr="003131ED">
        <w:rPr>
          <w:sz w:val="22"/>
          <w:szCs w:val="22"/>
        </w:rPr>
        <w:t xml:space="preserve">, Ph.D. for </w:t>
      </w:r>
      <w:r w:rsidR="008010EE" w:rsidRPr="003131ED">
        <w:rPr>
          <w:sz w:val="22"/>
          <w:szCs w:val="22"/>
        </w:rPr>
        <w:t xml:space="preserve">his </w:t>
      </w:r>
      <w:r w:rsidR="00084601" w:rsidRPr="003131ED">
        <w:rPr>
          <w:sz w:val="22"/>
          <w:szCs w:val="22"/>
        </w:rPr>
        <w:t xml:space="preserve">confocal imaging support. </w:t>
      </w:r>
      <w:r w:rsidR="008010EE" w:rsidRPr="003131ED">
        <w:rPr>
          <w:sz w:val="22"/>
          <w:szCs w:val="22"/>
        </w:rPr>
        <w:t xml:space="preserve">We would also like to acknowledge Elizabeth Neely and Becky Webb for their technical expertise </w:t>
      </w:r>
      <w:r w:rsidR="00CE4817" w:rsidRPr="003131ED">
        <w:rPr>
          <w:sz w:val="22"/>
          <w:szCs w:val="22"/>
        </w:rPr>
        <w:t>o</w:t>
      </w:r>
      <w:r w:rsidR="008010EE" w:rsidRPr="003131ED">
        <w:rPr>
          <w:sz w:val="22"/>
          <w:szCs w:val="22"/>
        </w:rPr>
        <w:t xml:space="preserve">n mouse handling and </w:t>
      </w:r>
      <w:r w:rsidR="00CE4817" w:rsidRPr="003131ED">
        <w:rPr>
          <w:sz w:val="22"/>
          <w:szCs w:val="22"/>
        </w:rPr>
        <w:t>stereotactic</w:t>
      </w:r>
      <w:r w:rsidR="008010EE" w:rsidRPr="003131ED">
        <w:rPr>
          <w:sz w:val="22"/>
          <w:szCs w:val="22"/>
        </w:rPr>
        <w:t xml:space="preserve"> intracranial injections.</w:t>
      </w:r>
    </w:p>
    <w:p w14:paraId="5B11F2B7" w14:textId="77777777" w:rsidR="00C90BBF" w:rsidRPr="003131ED" w:rsidRDefault="00C90BBF" w:rsidP="00C90BBF">
      <w:pPr>
        <w:spacing w:line="360" w:lineRule="auto"/>
        <w:jc w:val="both"/>
        <w:rPr>
          <w:sz w:val="22"/>
          <w:szCs w:val="22"/>
        </w:rPr>
      </w:pPr>
    </w:p>
    <w:p w14:paraId="413938E9" w14:textId="50AB1DA3" w:rsidR="007B1E32" w:rsidRPr="003131ED" w:rsidRDefault="007B1E32" w:rsidP="00D0468C">
      <w:pPr>
        <w:spacing w:line="360" w:lineRule="auto"/>
        <w:jc w:val="both"/>
        <w:rPr>
          <w:b/>
        </w:rPr>
      </w:pPr>
      <w:r w:rsidRPr="003131ED">
        <w:rPr>
          <w:b/>
        </w:rPr>
        <w:t>Funding</w:t>
      </w:r>
    </w:p>
    <w:p w14:paraId="69401228" w14:textId="328513E4" w:rsidR="00F7372C" w:rsidRPr="003131ED" w:rsidRDefault="00F7372C" w:rsidP="00D0468C">
      <w:pPr>
        <w:spacing w:line="360" w:lineRule="auto"/>
        <w:jc w:val="both"/>
        <w:rPr>
          <w:color w:val="000000" w:themeColor="text1"/>
          <w:sz w:val="22"/>
          <w:szCs w:val="22"/>
        </w:rPr>
      </w:pPr>
      <w:r w:rsidRPr="003131ED">
        <w:rPr>
          <w:color w:val="000000" w:themeColor="text1"/>
          <w:sz w:val="22"/>
          <w:szCs w:val="22"/>
        </w:rPr>
        <w:t xml:space="preserve">This study was partially supported by funds from the G.M Leader Family and the </w:t>
      </w:r>
      <w:proofErr w:type="spellStart"/>
      <w:r w:rsidR="00190124" w:rsidRPr="003131ED">
        <w:rPr>
          <w:color w:val="000000" w:themeColor="text1"/>
          <w:sz w:val="22"/>
          <w:szCs w:val="22"/>
        </w:rPr>
        <w:t>Soter</w:t>
      </w:r>
      <w:proofErr w:type="spellEnd"/>
      <w:r w:rsidR="00190124" w:rsidRPr="003131ED">
        <w:rPr>
          <w:color w:val="000000" w:themeColor="text1"/>
          <w:sz w:val="22"/>
          <w:szCs w:val="22"/>
        </w:rPr>
        <w:t xml:space="preserve"> S. and Carolyn C. </w:t>
      </w:r>
      <w:proofErr w:type="spellStart"/>
      <w:r w:rsidR="00190124" w:rsidRPr="003131ED">
        <w:rPr>
          <w:color w:val="000000" w:themeColor="text1"/>
          <w:sz w:val="22"/>
          <w:szCs w:val="22"/>
        </w:rPr>
        <w:t>Harbolis</w:t>
      </w:r>
      <w:proofErr w:type="spellEnd"/>
      <w:r w:rsidR="00190124" w:rsidRPr="003131ED">
        <w:rPr>
          <w:color w:val="000000" w:themeColor="text1"/>
          <w:sz w:val="22"/>
          <w:szCs w:val="22"/>
        </w:rPr>
        <w:t xml:space="preserve"> Alzheimer’s Research Endowment.</w:t>
      </w:r>
    </w:p>
    <w:p w14:paraId="2103B5D7" w14:textId="77777777" w:rsidR="00664C15" w:rsidRPr="003131ED" w:rsidRDefault="00664C15" w:rsidP="00D0468C">
      <w:pPr>
        <w:spacing w:line="360" w:lineRule="auto"/>
        <w:jc w:val="both"/>
        <w:rPr>
          <w:sz w:val="22"/>
          <w:szCs w:val="22"/>
        </w:rPr>
      </w:pPr>
    </w:p>
    <w:p w14:paraId="557481CF" w14:textId="77777777" w:rsidR="00364166" w:rsidRPr="003131ED" w:rsidRDefault="007B1E32" w:rsidP="00D0468C">
      <w:pPr>
        <w:spacing w:line="360" w:lineRule="auto"/>
        <w:jc w:val="both"/>
        <w:rPr>
          <w:b/>
        </w:rPr>
      </w:pPr>
      <w:r w:rsidRPr="003131ED">
        <w:rPr>
          <w:b/>
        </w:rPr>
        <w:t>Competing interests</w:t>
      </w:r>
    </w:p>
    <w:p w14:paraId="4EBDF544" w14:textId="7577B207" w:rsidR="007E7CC3" w:rsidRPr="003131ED" w:rsidRDefault="008010EE" w:rsidP="00D0468C">
      <w:pPr>
        <w:spacing w:line="360" w:lineRule="auto"/>
        <w:jc w:val="both"/>
        <w:rPr>
          <w:sz w:val="22"/>
          <w:szCs w:val="22"/>
        </w:rPr>
      </w:pPr>
      <w:r w:rsidRPr="003131ED">
        <w:rPr>
          <w:sz w:val="22"/>
          <w:szCs w:val="22"/>
        </w:rPr>
        <w:t>Dr. James Connor</w:t>
      </w:r>
      <w:r w:rsidR="00F00E23" w:rsidRPr="003131ED">
        <w:rPr>
          <w:sz w:val="22"/>
          <w:szCs w:val="22"/>
        </w:rPr>
        <w:t>, Ph.D.</w:t>
      </w:r>
      <w:r w:rsidRPr="003131ED">
        <w:rPr>
          <w:sz w:val="22"/>
          <w:szCs w:val="22"/>
        </w:rPr>
        <w:t xml:space="preserve"> is a</w:t>
      </w:r>
      <w:r w:rsidR="00F00E23" w:rsidRPr="003131ED">
        <w:rPr>
          <w:sz w:val="22"/>
          <w:szCs w:val="22"/>
        </w:rPr>
        <w:t>n editor for the Journal of Neurochemistry</w:t>
      </w:r>
    </w:p>
    <w:p w14:paraId="5141198F" w14:textId="77777777" w:rsidR="00364166" w:rsidRPr="003131ED" w:rsidRDefault="00364166" w:rsidP="00D0468C">
      <w:pPr>
        <w:spacing w:line="360" w:lineRule="auto"/>
        <w:jc w:val="both"/>
        <w:rPr>
          <w:sz w:val="22"/>
          <w:szCs w:val="22"/>
        </w:rPr>
      </w:pPr>
    </w:p>
    <w:p w14:paraId="65509F74" w14:textId="27011971" w:rsidR="007B1E32" w:rsidRPr="003131ED" w:rsidRDefault="007B1E32" w:rsidP="00D0468C">
      <w:pPr>
        <w:spacing w:line="360" w:lineRule="auto"/>
        <w:jc w:val="both"/>
        <w:rPr>
          <w:b/>
        </w:rPr>
      </w:pPr>
      <w:r w:rsidRPr="003131ED">
        <w:rPr>
          <w:b/>
        </w:rPr>
        <w:t>References</w:t>
      </w:r>
    </w:p>
    <w:p w14:paraId="18B3B0B2" w14:textId="2E2BC798" w:rsidR="00931B4F" w:rsidRPr="003131ED" w:rsidRDefault="00114984" w:rsidP="00931B4F">
      <w:pPr>
        <w:widowControl w:val="0"/>
        <w:autoSpaceDE w:val="0"/>
        <w:autoSpaceDN w:val="0"/>
        <w:adjustRightInd w:val="0"/>
        <w:spacing w:line="360" w:lineRule="auto"/>
        <w:ind w:left="480" w:hanging="480"/>
        <w:rPr>
          <w:noProof/>
          <w:sz w:val="22"/>
        </w:rPr>
      </w:pPr>
      <w:r w:rsidRPr="003131ED">
        <w:rPr>
          <w:b/>
          <w:sz w:val="22"/>
          <w:szCs w:val="22"/>
        </w:rPr>
        <w:fldChar w:fldCharType="begin" w:fldLock="1"/>
      </w:r>
      <w:r w:rsidRPr="003131ED">
        <w:rPr>
          <w:b/>
          <w:sz w:val="22"/>
          <w:szCs w:val="22"/>
        </w:rPr>
        <w:instrText xml:space="preserve">ADDIN Mendeley Bibliography CSL_BIBLIOGRAPHY </w:instrText>
      </w:r>
      <w:r w:rsidRPr="003131ED">
        <w:rPr>
          <w:b/>
          <w:sz w:val="22"/>
          <w:szCs w:val="22"/>
        </w:rPr>
        <w:fldChar w:fldCharType="separate"/>
      </w:r>
      <w:r w:rsidR="00931B4F" w:rsidRPr="003131ED">
        <w:rPr>
          <w:noProof/>
          <w:sz w:val="22"/>
        </w:rPr>
        <w:t xml:space="preserve">Aamodt A. H., Stovner L. J., Thorstensen K., Lydersen S., White L. R., Aasly J. O. (2007) Prevalence of haemochromatosis gene mutations in Parkinson’s disease. </w:t>
      </w:r>
      <w:r w:rsidR="00931B4F" w:rsidRPr="003131ED">
        <w:rPr>
          <w:i/>
          <w:iCs/>
          <w:noProof/>
          <w:sz w:val="22"/>
        </w:rPr>
        <w:t>J. Neurol. Neurosurg. Psychiatry</w:t>
      </w:r>
      <w:r w:rsidR="00931B4F" w:rsidRPr="003131ED">
        <w:rPr>
          <w:noProof/>
          <w:sz w:val="22"/>
        </w:rPr>
        <w:t xml:space="preserve"> </w:t>
      </w:r>
      <w:r w:rsidR="00931B4F" w:rsidRPr="003131ED">
        <w:rPr>
          <w:b/>
          <w:bCs/>
          <w:noProof/>
          <w:sz w:val="22"/>
        </w:rPr>
        <w:lastRenderedPageBreak/>
        <w:t>78</w:t>
      </w:r>
      <w:r w:rsidR="00931B4F" w:rsidRPr="003131ED">
        <w:rPr>
          <w:noProof/>
          <w:sz w:val="22"/>
        </w:rPr>
        <w:t>, 315–7.</w:t>
      </w:r>
    </w:p>
    <w:p w14:paraId="408E5D1A"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Abeyawardhane D. L., Fernández R. D., Murgas C. J., Heitger D. R., Forney A. K., Crozier M. K., Lucas H. R. (2018) Iron Redox Chemistry Promotes Antiparallel Oligomerization of α-Synuclein. </w:t>
      </w:r>
      <w:r w:rsidRPr="003131ED">
        <w:rPr>
          <w:i/>
          <w:iCs/>
          <w:noProof/>
          <w:sz w:val="22"/>
        </w:rPr>
        <w:t>J. Am. Chem. Soc.</w:t>
      </w:r>
      <w:r w:rsidRPr="003131ED">
        <w:rPr>
          <w:noProof/>
          <w:sz w:val="22"/>
        </w:rPr>
        <w:t xml:space="preserve"> </w:t>
      </w:r>
      <w:r w:rsidRPr="003131ED">
        <w:rPr>
          <w:b/>
          <w:bCs/>
          <w:noProof/>
          <w:sz w:val="22"/>
        </w:rPr>
        <w:t>140</w:t>
      </w:r>
      <w:r w:rsidRPr="003131ED">
        <w:rPr>
          <w:noProof/>
          <w:sz w:val="22"/>
        </w:rPr>
        <w:t>, 5028–5032.</w:t>
      </w:r>
    </w:p>
    <w:p w14:paraId="30969061"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Akbas N., Hochstrasser H., Deplazes J., Tomiuk J., Bauer P., Walter U., Behnke S., Riess O., Berg D. (2006) Screening for mutations of the HFE gene in Parkinson’s disease patients with hyperechogenicity of the substantia nigra. </w:t>
      </w:r>
      <w:r w:rsidRPr="003131ED">
        <w:rPr>
          <w:i/>
          <w:iCs/>
          <w:noProof/>
          <w:sz w:val="22"/>
        </w:rPr>
        <w:t>Neurosci. Lett.</w:t>
      </w:r>
      <w:r w:rsidRPr="003131ED">
        <w:rPr>
          <w:noProof/>
          <w:sz w:val="22"/>
        </w:rPr>
        <w:t xml:space="preserve"> </w:t>
      </w:r>
      <w:r w:rsidRPr="003131ED">
        <w:rPr>
          <w:b/>
          <w:bCs/>
          <w:noProof/>
          <w:sz w:val="22"/>
        </w:rPr>
        <w:t>407</w:t>
      </w:r>
      <w:r w:rsidRPr="003131ED">
        <w:rPr>
          <w:noProof/>
          <w:sz w:val="22"/>
        </w:rPr>
        <w:t>, 16–19.</w:t>
      </w:r>
    </w:p>
    <w:p w14:paraId="1B2D9C3A"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Ali-Rahmani F., Grigson P. S., Lee S., Neely E., Connor J. R., Schengrund C.-L. (2014a) H63D mutation in hemochromatosis alters cholesterol metabolism and induces memory impairment. </w:t>
      </w:r>
      <w:r w:rsidRPr="003131ED">
        <w:rPr>
          <w:i/>
          <w:iCs/>
          <w:noProof/>
          <w:sz w:val="22"/>
        </w:rPr>
        <w:t>Neurobiol. Aging</w:t>
      </w:r>
      <w:r w:rsidRPr="003131ED">
        <w:rPr>
          <w:noProof/>
          <w:sz w:val="22"/>
        </w:rPr>
        <w:t xml:space="preserve"> </w:t>
      </w:r>
      <w:r w:rsidRPr="003131ED">
        <w:rPr>
          <w:b/>
          <w:bCs/>
          <w:noProof/>
          <w:sz w:val="22"/>
        </w:rPr>
        <w:t>35</w:t>
      </w:r>
      <w:r w:rsidRPr="003131ED">
        <w:rPr>
          <w:noProof/>
          <w:sz w:val="22"/>
        </w:rPr>
        <w:t>, 1511.e1–12.</w:t>
      </w:r>
    </w:p>
    <w:p w14:paraId="3FCF1F62"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Ali-Rahmani F., Schengrund C.-L., Connor J. R. (2014b) HFE gene variants, iron, and lipids: a novel connection in Alzheimer’s disease. </w:t>
      </w:r>
      <w:r w:rsidRPr="003131ED">
        <w:rPr>
          <w:i/>
          <w:iCs/>
          <w:noProof/>
          <w:sz w:val="22"/>
        </w:rPr>
        <w:t>Front. Pharmacol.</w:t>
      </w:r>
      <w:r w:rsidRPr="003131ED">
        <w:rPr>
          <w:noProof/>
          <w:sz w:val="22"/>
        </w:rPr>
        <w:t xml:space="preserve"> </w:t>
      </w:r>
      <w:r w:rsidRPr="003131ED">
        <w:rPr>
          <w:b/>
          <w:bCs/>
          <w:noProof/>
          <w:sz w:val="22"/>
        </w:rPr>
        <w:t>5</w:t>
      </w:r>
      <w:r w:rsidRPr="003131ED">
        <w:rPr>
          <w:noProof/>
          <w:sz w:val="22"/>
        </w:rPr>
        <w:t>, 165.</w:t>
      </w:r>
    </w:p>
    <w:p w14:paraId="07F3C2EE"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Bartels M., Weckbecker D., Kuhn P. H., Ryazanov S., Leonov A., Griesinger C., Lichtenthaler S. F., Bötzel K., Giese A. (2019) Iron-mediated aggregation and toxicity in a novel neuronal cell culture model with inducible alpha-synuclein expression. </w:t>
      </w:r>
      <w:r w:rsidRPr="003131ED">
        <w:rPr>
          <w:i/>
          <w:iCs/>
          <w:noProof/>
          <w:sz w:val="22"/>
        </w:rPr>
        <w:t>Sci. Rep.</w:t>
      </w:r>
      <w:r w:rsidRPr="003131ED">
        <w:rPr>
          <w:noProof/>
          <w:sz w:val="22"/>
        </w:rPr>
        <w:t xml:space="preserve"> </w:t>
      </w:r>
      <w:r w:rsidRPr="003131ED">
        <w:rPr>
          <w:b/>
          <w:bCs/>
          <w:noProof/>
          <w:sz w:val="22"/>
        </w:rPr>
        <w:t>9</w:t>
      </w:r>
      <w:r w:rsidRPr="003131ED">
        <w:rPr>
          <w:noProof/>
          <w:sz w:val="22"/>
        </w:rPr>
        <w:t>.</w:t>
      </w:r>
    </w:p>
    <w:p w14:paraId="2D89CD26"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Barton J. C., Edwards C. Q., Acton R. T. (2015) HFE gene: Structure, function, mutations, and associated iron abnormalities. </w:t>
      </w:r>
      <w:r w:rsidRPr="003131ED">
        <w:rPr>
          <w:i/>
          <w:iCs/>
          <w:noProof/>
          <w:sz w:val="22"/>
        </w:rPr>
        <w:t>Gene</w:t>
      </w:r>
      <w:r w:rsidRPr="003131ED">
        <w:rPr>
          <w:noProof/>
          <w:sz w:val="22"/>
        </w:rPr>
        <w:t xml:space="preserve"> </w:t>
      </w:r>
      <w:r w:rsidRPr="003131ED">
        <w:rPr>
          <w:b/>
          <w:bCs/>
          <w:noProof/>
          <w:sz w:val="22"/>
        </w:rPr>
        <w:t>574</w:t>
      </w:r>
      <w:r w:rsidRPr="003131ED">
        <w:rPr>
          <w:noProof/>
          <w:sz w:val="22"/>
        </w:rPr>
        <w:t>, 179–192.</w:t>
      </w:r>
    </w:p>
    <w:p w14:paraId="1A8FF67C"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Beard J. L., Dawson H., Piñero D. J. (1996) Iron metabolism: a comprehensive review. </w:t>
      </w:r>
      <w:r w:rsidRPr="003131ED">
        <w:rPr>
          <w:i/>
          <w:iCs/>
          <w:noProof/>
          <w:sz w:val="22"/>
        </w:rPr>
        <w:t>Nutr. Rev.</w:t>
      </w:r>
      <w:r w:rsidRPr="003131ED">
        <w:rPr>
          <w:noProof/>
          <w:sz w:val="22"/>
        </w:rPr>
        <w:t xml:space="preserve"> </w:t>
      </w:r>
      <w:r w:rsidRPr="003131ED">
        <w:rPr>
          <w:b/>
          <w:bCs/>
          <w:noProof/>
          <w:sz w:val="22"/>
        </w:rPr>
        <w:t>54</w:t>
      </w:r>
      <w:r w:rsidRPr="003131ED">
        <w:rPr>
          <w:noProof/>
          <w:sz w:val="22"/>
        </w:rPr>
        <w:t>, 295–317.</w:t>
      </w:r>
    </w:p>
    <w:p w14:paraId="1FEFB80F"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Biasiotto G., Goldwurm S., Finazzi D., Tunesi S., Zecchinelli A., Sironi F., Pezzoli G., Arosio P. (2008) HFE gene mutations in a population of Italian Parkinson’s disease patients. </w:t>
      </w:r>
      <w:r w:rsidRPr="003131ED">
        <w:rPr>
          <w:i/>
          <w:iCs/>
          <w:noProof/>
          <w:sz w:val="22"/>
        </w:rPr>
        <w:t>Park. Relat. Disord.</w:t>
      </w:r>
      <w:r w:rsidRPr="003131ED">
        <w:rPr>
          <w:noProof/>
          <w:sz w:val="22"/>
        </w:rPr>
        <w:t xml:space="preserve"> </w:t>
      </w:r>
      <w:r w:rsidRPr="003131ED">
        <w:rPr>
          <w:b/>
          <w:bCs/>
          <w:noProof/>
          <w:sz w:val="22"/>
        </w:rPr>
        <w:t>14</w:t>
      </w:r>
      <w:r w:rsidRPr="003131ED">
        <w:rPr>
          <w:noProof/>
          <w:sz w:val="22"/>
        </w:rPr>
        <w:t>, 426–430.</w:t>
      </w:r>
    </w:p>
    <w:p w14:paraId="4A74D617"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Borie C., Gasparini F., Verpillat P., Bonnet A. M., Agid Y., Hetet G., Brice A., Dürr A., Grandchamp B. (2002) Association study between iron-related genes polymorphisms and Parkinson’s disease. </w:t>
      </w:r>
      <w:r w:rsidRPr="003131ED">
        <w:rPr>
          <w:i/>
          <w:iCs/>
          <w:noProof/>
          <w:sz w:val="22"/>
        </w:rPr>
        <w:t>J. Neurol.</w:t>
      </w:r>
      <w:r w:rsidRPr="003131ED">
        <w:rPr>
          <w:noProof/>
          <w:sz w:val="22"/>
        </w:rPr>
        <w:t xml:space="preserve"> </w:t>
      </w:r>
      <w:r w:rsidRPr="003131ED">
        <w:rPr>
          <w:b/>
          <w:bCs/>
          <w:noProof/>
          <w:sz w:val="22"/>
        </w:rPr>
        <w:t>249</w:t>
      </w:r>
      <w:r w:rsidRPr="003131ED">
        <w:rPr>
          <w:noProof/>
          <w:sz w:val="22"/>
        </w:rPr>
        <w:t>, 801–804.</w:t>
      </w:r>
    </w:p>
    <w:p w14:paraId="7F46047F"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Buchanan D. ., Silburn P. ., Chalk J. ., Couteur D. . Le, Mellick G. . (2002) The Cys282Tyr polymorphism in the HFE gene in Australian Parkinson’s disease patients. </w:t>
      </w:r>
      <w:r w:rsidRPr="003131ED">
        <w:rPr>
          <w:i/>
          <w:iCs/>
          <w:noProof/>
          <w:sz w:val="22"/>
        </w:rPr>
        <w:t>Neurosci. Lett.</w:t>
      </w:r>
      <w:r w:rsidRPr="003131ED">
        <w:rPr>
          <w:noProof/>
          <w:sz w:val="22"/>
        </w:rPr>
        <w:t xml:space="preserve"> </w:t>
      </w:r>
      <w:r w:rsidRPr="003131ED">
        <w:rPr>
          <w:b/>
          <w:bCs/>
          <w:noProof/>
          <w:sz w:val="22"/>
        </w:rPr>
        <w:t>327</w:t>
      </w:r>
      <w:r w:rsidRPr="003131ED">
        <w:rPr>
          <w:noProof/>
          <w:sz w:val="22"/>
        </w:rPr>
        <w:t>, 91–94.</w:t>
      </w:r>
    </w:p>
    <w:p w14:paraId="3C277BAA"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Chen J. C., Hardy P. A., Kucharczyk W., Clauberg M., Joshi J. G., Vourlas A., Dhar M., Henkelman R. M. (1993) MR of human postmortem brain tissue: correlative study between T2 and assays of iron and ferritin in Parkinson and Huntington disease. </w:t>
      </w:r>
      <w:r w:rsidRPr="003131ED">
        <w:rPr>
          <w:i/>
          <w:iCs/>
          <w:noProof/>
          <w:sz w:val="22"/>
        </w:rPr>
        <w:t>AJNR. Am. J. Neuroradiol.</w:t>
      </w:r>
      <w:r w:rsidRPr="003131ED">
        <w:rPr>
          <w:noProof/>
          <w:sz w:val="22"/>
        </w:rPr>
        <w:t xml:space="preserve"> </w:t>
      </w:r>
      <w:r w:rsidRPr="003131ED">
        <w:rPr>
          <w:b/>
          <w:bCs/>
          <w:noProof/>
          <w:sz w:val="22"/>
        </w:rPr>
        <w:t>14</w:t>
      </w:r>
      <w:r w:rsidRPr="003131ED">
        <w:rPr>
          <w:noProof/>
          <w:sz w:val="22"/>
        </w:rPr>
        <w:t>, 275–81.</w:t>
      </w:r>
    </w:p>
    <w:p w14:paraId="51C00897"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Chen S.-C., Olsthoorn R. C. L. (2019) Relevance of the iron-responsive element (IRE) pseudotriloop structure for IRP1/2 binding and validation of IRE-like structures using the yeast three-hybrid system. </w:t>
      </w:r>
      <w:r w:rsidRPr="003131ED">
        <w:rPr>
          <w:i/>
          <w:iCs/>
          <w:noProof/>
          <w:sz w:val="22"/>
        </w:rPr>
        <w:t>Gene</w:t>
      </w:r>
      <w:r w:rsidRPr="003131ED">
        <w:rPr>
          <w:noProof/>
          <w:sz w:val="22"/>
        </w:rPr>
        <w:t xml:space="preserve"> </w:t>
      </w:r>
      <w:r w:rsidRPr="003131ED">
        <w:rPr>
          <w:b/>
          <w:bCs/>
          <w:noProof/>
          <w:sz w:val="22"/>
        </w:rPr>
        <w:t>710</w:t>
      </w:r>
      <w:r w:rsidRPr="003131ED">
        <w:rPr>
          <w:noProof/>
          <w:sz w:val="22"/>
        </w:rPr>
        <w:t>, 399–405.</w:t>
      </w:r>
    </w:p>
    <w:p w14:paraId="4F166EE8"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Dekker M. C. J., Giesbergen P. C., Njajou O. T., Swieten J. C. van, Hofman A., Breteler M. M. B., Duijn C. M. Van (2003) Mutations in the hemochromatosis gene (HFE), Parkinson’s disease and parkinsonism. </w:t>
      </w:r>
      <w:r w:rsidRPr="003131ED">
        <w:rPr>
          <w:i/>
          <w:iCs/>
          <w:noProof/>
          <w:sz w:val="22"/>
        </w:rPr>
        <w:t>Neurosci. Lett.</w:t>
      </w:r>
      <w:r w:rsidRPr="003131ED">
        <w:rPr>
          <w:noProof/>
          <w:sz w:val="22"/>
        </w:rPr>
        <w:t xml:space="preserve"> </w:t>
      </w:r>
      <w:r w:rsidRPr="003131ED">
        <w:rPr>
          <w:b/>
          <w:bCs/>
          <w:noProof/>
          <w:sz w:val="22"/>
        </w:rPr>
        <w:t>348</w:t>
      </w:r>
      <w:r w:rsidRPr="003131ED">
        <w:rPr>
          <w:noProof/>
          <w:sz w:val="22"/>
        </w:rPr>
        <w:t>, 117–119.</w:t>
      </w:r>
    </w:p>
    <w:p w14:paraId="2AA9A342"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lastRenderedPageBreak/>
        <w:t xml:space="preserve">Dennis M. D., McGhee N. K., Jefferson L. S., Kimball S. R. (2013) Regulated in DNA damage and development 1 (REDD1) promotes cell survival during serum deprivation by sustaining repression of signaling through the mechanistic target of rapamycin in complex 1 (mTORC1). </w:t>
      </w:r>
      <w:r w:rsidRPr="003131ED">
        <w:rPr>
          <w:i/>
          <w:iCs/>
          <w:noProof/>
          <w:sz w:val="22"/>
        </w:rPr>
        <w:t>Cell. Signal.</w:t>
      </w:r>
      <w:r w:rsidRPr="003131ED">
        <w:rPr>
          <w:noProof/>
          <w:sz w:val="22"/>
        </w:rPr>
        <w:t xml:space="preserve"> </w:t>
      </w:r>
      <w:r w:rsidRPr="003131ED">
        <w:rPr>
          <w:b/>
          <w:bCs/>
          <w:noProof/>
          <w:sz w:val="22"/>
        </w:rPr>
        <w:t>25</w:t>
      </w:r>
      <w:r w:rsidRPr="003131ED">
        <w:rPr>
          <w:noProof/>
          <w:sz w:val="22"/>
        </w:rPr>
        <w:t>, 2709–2716.</w:t>
      </w:r>
    </w:p>
    <w:p w14:paraId="48E8E0CF"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Devos D., Moreau C., Devedjian J. C., Kluza J., Petrault M., Laloux C., Jonneaux A., et al. (2014) Targeting chelatable iron as a therapeutic modality in Parkinson’s disease. </w:t>
      </w:r>
      <w:r w:rsidRPr="003131ED">
        <w:rPr>
          <w:i/>
          <w:iCs/>
          <w:noProof/>
          <w:sz w:val="22"/>
        </w:rPr>
        <w:t>Antioxid. Redox Signal.</w:t>
      </w:r>
      <w:r w:rsidRPr="003131ED">
        <w:rPr>
          <w:noProof/>
          <w:sz w:val="22"/>
        </w:rPr>
        <w:t xml:space="preserve"> </w:t>
      </w:r>
      <w:r w:rsidRPr="003131ED">
        <w:rPr>
          <w:b/>
          <w:bCs/>
          <w:noProof/>
          <w:sz w:val="22"/>
        </w:rPr>
        <w:t>21</w:t>
      </w:r>
      <w:r w:rsidRPr="003131ED">
        <w:rPr>
          <w:noProof/>
          <w:sz w:val="22"/>
        </w:rPr>
        <w:t>, 195–210.</w:t>
      </w:r>
    </w:p>
    <w:p w14:paraId="29054A21"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Dexter D. T., Carayon A., Javoy-Agid F., Agid Y., Wells F. R., Daniel S. E., Lees A. J., Jenner P., Marsden C. D. (1991) Alterations in the levels of iron, ferritin and other trace metals in Parkinson’s disease and other neurodegenerative diseases affecting the basal ganglia. </w:t>
      </w:r>
      <w:r w:rsidRPr="003131ED">
        <w:rPr>
          <w:i/>
          <w:iCs/>
          <w:noProof/>
          <w:sz w:val="22"/>
        </w:rPr>
        <w:t>Brain</w:t>
      </w:r>
      <w:r w:rsidRPr="003131ED">
        <w:rPr>
          <w:noProof/>
          <w:sz w:val="22"/>
        </w:rPr>
        <w:t xml:space="preserve"> </w:t>
      </w:r>
      <w:r w:rsidRPr="003131ED">
        <w:rPr>
          <w:b/>
          <w:bCs/>
          <w:noProof/>
          <w:sz w:val="22"/>
        </w:rPr>
        <w:t>114</w:t>
      </w:r>
      <w:r w:rsidRPr="003131ED">
        <w:rPr>
          <w:noProof/>
          <w:sz w:val="22"/>
        </w:rPr>
        <w:t>, 1953–1975.</w:t>
      </w:r>
    </w:p>
    <w:p w14:paraId="4AF9A12A"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Dexter D. T., Statton S. A., Whitmore C., Freinbichler W., Weinberger P., Tipton K. F., Corte L. Della, Ward R. J., Crichton R. R. (2011) Clinically available iron chelators induce neuroprotection in the 6-OHDA model of Parkinson’s disease after peripheral administration. </w:t>
      </w:r>
      <w:r w:rsidRPr="003131ED">
        <w:rPr>
          <w:i/>
          <w:iCs/>
          <w:noProof/>
          <w:sz w:val="22"/>
        </w:rPr>
        <w:t>J. Neural Transm.</w:t>
      </w:r>
      <w:r w:rsidRPr="003131ED">
        <w:rPr>
          <w:noProof/>
          <w:sz w:val="22"/>
        </w:rPr>
        <w:t xml:space="preserve"> </w:t>
      </w:r>
      <w:r w:rsidRPr="003131ED">
        <w:rPr>
          <w:b/>
          <w:bCs/>
          <w:noProof/>
          <w:sz w:val="22"/>
        </w:rPr>
        <w:t>118</w:t>
      </w:r>
      <w:r w:rsidRPr="003131ED">
        <w:rPr>
          <w:noProof/>
          <w:sz w:val="22"/>
        </w:rPr>
        <w:t>, 223–31.</w:t>
      </w:r>
    </w:p>
    <w:p w14:paraId="65A8A58B"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Dexter D. T., Wells F. R., Agid F., Agid Y., Lees A. J., Jenner P., Marsden C. D. (1983) Increased nigral iron content in postmortem Parkinsonian brain. </w:t>
      </w:r>
      <w:r w:rsidRPr="003131ED">
        <w:rPr>
          <w:i/>
          <w:iCs/>
          <w:noProof/>
          <w:sz w:val="22"/>
        </w:rPr>
        <w:t>Lancet</w:t>
      </w:r>
      <w:r w:rsidRPr="003131ED">
        <w:rPr>
          <w:noProof/>
          <w:sz w:val="22"/>
        </w:rPr>
        <w:t xml:space="preserve"> </w:t>
      </w:r>
      <w:r w:rsidRPr="003131ED">
        <w:rPr>
          <w:b/>
          <w:bCs/>
          <w:noProof/>
          <w:sz w:val="22"/>
        </w:rPr>
        <w:t>ii</w:t>
      </w:r>
      <w:r w:rsidRPr="003131ED">
        <w:rPr>
          <w:noProof/>
          <w:sz w:val="22"/>
        </w:rPr>
        <w:t>, 1099–102.</w:t>
      </w:r>
    </w:p>
    <w:p w14:paraId="11E3A4CF"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Du T. T., Wang L., Duan C. L., Lu L. L., Zhang J. L., Gao G., Qiu X. B., Wang X. M., Yang H. (2015) GBA deficiency promotes SNCA/α-synuclein accumulation through autophagic inhibition by inactivated PPP2A. </w:t>
      </w:r>
      <w:r w:rsidRPr="003131ED">
        <w:rPr>
          <w:i/>
          <w:iCs/>
          <w:noProof/>
          <w:sz w:val="22"/>
        </w:rPr>
        <w:t>Autophagy</w:t>
      </w:r>
      <w:r w:rsidRPr="003131ED">
        <w:rPr>
          <w:noProof/>
          <w:sz w:val="22"/>
        </w:rPr>
        <w:t xml:space="preserve"> </w:t>
      </w:r>
      <w:r w:rsidRPr="003131ED">
        <w:rPr>
          <w:b/>
          <w:bCs/>
          <w:noProof/>
          <w:sz w:val="22"/>
        </w:rPr>
        <w:t>11</w:t>
      </w:r>
      <w:r w:rsidRPr="003131ED">
        <w:rPr>
          <w:noProof/>
          <w:sz w:val="22"/>
        </w:rPr>
        <w:t>, 1803–1820.</w:t>
      </w:r>
    </w:p>
    <w:p w14:paraId="65364E79"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Febbraro F., Giorgi M., Caldarola S., Loreni F., Romero-Ramos M. (2012) α-Synuclein expression is modulated at the translational level by iron. </w:t>
      </w:r>
      <w:r w:rsidRPr="003131ED">
        <w:rPr>
          <w:i/>
          <w:iCs/>
          <w:noProof/>
          <w:sz w:val="22"/>
        </w:rPr>
        <w:t>Neuroreport</w:t>
      </w:r>
      <w:r w:rsidRPr="003131ED">
        <w:rPr>
          <w:noProof/>
          <w:sz w:val="22"/>
        </w:rPr>
        <w:t xml:space="preserve"> </w:t>
      </w:r>
      <w:r w:rsidRPr="003131ED">
        <w:rPr>
          <w:b/>
          <w:bCs/>
          <w:noProof/>
          <w:sz w:val="22"/>
        </w:rPr>
        <w:t>23</w:t>
      </w:r>
      <w:r w:rsidRPr="003131ED">
        <w:rPr>
          <w:noProof/>
          <w:sz w:val="22"/>
        </w:rPr>
        <w:t>, 576–580.</w:t>
      </w:r>
    </w:p>
    <w:p w14:paraId="6F6D576A"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Friedlich A. L., Tanzi R. E., Rogers J. T. (2007) The 5’-untranslated region of Parkinson’s disease alpha-synuclein messengerRNA contains a predicted iron responsive element. </w:t>
      </w:r>
      <w:r w:rsidRPr="003131ED">
        <w:rPr>
          <w:i/>
          <w:iCs/>
          <w:noProof/>
          <w:sz w:val="22"/>
        </w:rPr>
        <w:t>Mol. Psychiatry</w:t>
      </w:r>
      <w:r w:rsidRPr="003131ED">
        <w:rPr>
          <w:noProof/>
          <w:sz w:val="22"/>
        </w:rPr>
        <w:t xml:space="preserve"> </w:t>
      </w:r>
      <w:r w:rsidRPr="003131ED">
        <w:rPr>
          <w:b/>
          <w:bCs/>
          <w:noProof/>
          <w:sz w:val="22"/>
        </w:rPr>
        <w:t>12</w:t>
      </w:r>
      <w:r w:rsidRPr="003131ED">
        <w:rPr>
          <w:noProof/>
          <w:sz w:val="22"/>
        </w:rPr>
        <w:t>, 222–223.</w:t>
      </w:r>
    </w:p>
    <w:p w14:paraId="50BF6715"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Gan-Or Z., Dion P. A., Rouleau G. A. (2015) Genetic perspective on the role of the autophagy-lysosome pathway in Parkinson disease. </w:t>
      </w:r>
      <w:r w:rsidRPr="003131ED">
        <w:rPr>
          <w:i/>
          <w:iCs/>
          <w:noProof/>
          <w:sz w:val="22"/>
        </w:rPr>
        <w:t>Autophagy</w:t>
      </w:r>
      <w:r w:rsidRPr="003131ED">
        <w:rPr>
          <w:noProof/>
          <w:sz w:val="22"/>
        </w:rPr>
        <w:t xml:space="preserve"> </w:t>
      </w:r>
      <w:r w:rsidRPr="003131ED">
        <w:rPr>
          <w:b/>
          <w:bCs/>
          <w:noProof/>
          <w:sz w:val="22"/>
        </w:rPr>
        <w:t>11</w:t>
      </w:r>
      <w:r w:rsidRPr="003131ED">
        <w:rPr>
          <w:noProof/>
          <w:sz w:val="22"/>
        </w:rPr>
        <w:t>, 1443–1457.</w:t>
      </w:r>
    </w:p>
    <w:p w14:paraId="59E267EB"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Greco V., Marco E. V. De, Rocca F. E., Annesi F., Civitelli D., Provenzano G., Tarantino P., et al. (2011) Association study between four polymorphisms in the HFE, TF and TFR genes and Parkinson’s disease in Southern Italy. </w:t>
      </w:r>
      <w:r w:rsidRPr="003131ED">
        <w:rPr>
          <w:i/>
          <w:iCs/>
          <w:noProof/>
          <w:sz w:val="22"/>
        </w:rPr>
        <w:t>Neurol. Sci.</w:t>
      </w:r>
      <w:r w:rsidRPr="003131ED">
        <w:rPr>
          <w:noProof/>
          <w:sz w:val="22"/>
        </w:rPr>
        <w:t xml:space="preserve"> </w:t>
      </w:r>
      <w:r w:rsidRPr="003131ED">
        <w:rPr>
          <w:b/>
          <w:bCs/>
          <w:noProof/>
          <w:sz w:val="22"/>
        </w:rPr>
        <w:t>32</w:t>
      </w:r>
      <w:r w:rsidRPr="003131ED">
        <w:rPr>
          <w:noProof/>
          <w:sz w:val="22"/>
        </w:rPr>
        <w:t>, 525–527.</w:t>
      </w:r>
    </w:p>
    <w:p w14:paraId="5DB993A9"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Guerreiro R. J., Bras J. M., Santana I., Januario C., Santiago B., Morgadinho A. S., Ribeiro M. H., Hardy J., Singleton A., Oliveira C. (2006) Association of HFE common mutations with Parkinson’s disease, Alzheimer’s disease and mild cognitive impairment in a Portuguese cohort. </w:t>
      </w:r>
      <w:r w:rsidRPr="003131ED">
        <w:rPr>
          <w:i/>
          <w:iCs/>
          <w:noProof/>
          <w:sz w:val="22"/>
        </w:rPr>
        <w:t>BMC Neurol.</w:t>
      </w:r>
      <w:r w:rsidRPr="003131ED">
        <w:rPr>
          <w:noProof/>
          <w:sz w:val="22"/>
        </w:rPr>
        <w:t xml:space="preserve"> </w:t>
      </w:r>
      <w:r w:rsidRPr="003131ED">
        <w:rPr>
          <w:b/>
          <w:bCs/>
          <w:noProof/>
          <w:sz w:val="22"/>
        </w:rPr>
        <w:t>6</w:t>
      </w:r>
      <w:r w:rsidRPr="003131ED">
        <w:rPr>
          <w:noProof/>
          <w:sz w:val="22"/>
        </w:rPr>
        <w:t>, 24.</w:t>
      </w:r>
    </w:p>
    <w:p w14:paraId="3362ACD0"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Halling J., Petersen M. S., Grandjean P., Weihe P., Brosen K. (2008) Genetic predisposition to Parkinson’s disease: CYP2D6 and HFE in the Faroe Islands. </w:t>
      </w:r>
      <w:r w:rsidRPr="003131ED">
        <w:rPr>
          <w:i/>
          <w:iCs/>
          <w:noProof/>
          <w:sz w:val="22"/>
        </w:rPr>
        <w:t>Pharmacogenet. Genomics</w:t>
      </w:r>
      <w:r w:rsidRPr="003131ED">
        <w:rPr>
          <w:noProof/>
          <w:sz w:val="22"/>
        </w:rPr>
        <w:t xml:space="preserve"> </w:t>
      </w:r>
      <w:r w:rsidRPr="003131ED">
        <w:rPr>
          <w:b/>
          <w:bCs/>
          <w:noProof/>
          <w:sz w:val="22"/>
        </w:rPr>
        <w:t>18</w:t>
      </w:r>
      <w:r w:rsidRPr="003131ED">
        <w:rPr>
          <w:noProof/>
          <w:sz w:val="22"/>
        </w:rPr>
        <w:t>, 209–212.</w:t>
      </w:r>
    </w:p>
    <w:p w14:paraId="6B8C690C"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lastRenderedPageBreak/>
        <w:t xml:space="preserve">Hanson E. H., Imperatore G., Burke W. (2001) HFE Gene and Hereditary Hemochromatosis: A HuGE Review. </w:t>
      </w:r>
      <w:r w:rsidRPr="003131ED">
        <w:rPr>
          <w:i/>
          <w:iCs/>
          <w:noProof/>
          <w:sz w:val="22"/>
        </w:rPr>
        <w:t>Am. J. Epidemiol.</w:t>
      </w:r>
      <w:r w:rsidRPr="003131ED">
        <w:rPr>
          <w:noProof/>
          <w:sz w:val="22"/>
        </w:rPr>
        <w:t xml:space="preserve"> </w:t>
      </w:r>
      <w:r w:rsidRPr="003131ED">
        <w:rPr>
          <w:b/>
          <w:bCs/>
          <w:noProof/>
          <w:sz w:val="22"/>
        </w:rPr>
        <w:t>154</w:t>
      </w:r>
      <w:r w:rsidRPr="003131ED">
        <w:rPr>
          <w:noProof/>
          <w:sz w:val="22"/>
        </w:rPr>
        <w:t>, 193–206.</w:t>
      </w:r>
    </w:p>
    <w:p w14:paraId="04A6E820"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Hara T., Nakamura K., Matsui M., Yamamoto A., Nakahara Y., Suzuki-Migishima R., Yokoyama M., et al. (2006) Suppression of basal autophagy in neural cells causes neurodegenerative disease in mice. </w:t>
      </w:r>
      <w:r w:rsidRPr="003131ED">
        <w:rPr>
          <w:i/>
          <w:iCs/>
          <w:noProof/>
          <w:sz w:val="22"/>
        </w:rPr>
        <w:t>Nature</w:t>
      </w:r>
      <w:r w:rsidRPr="003131ED">
        <w:rPr>
          <w:noProof/>
          <w:sz w:val="22"/>
        </w:rPr>
        <w:t xml:space="preserve"> </w:t>
      </w:r>
      <w:r w:rsidRPr="003131ED">
        <w:rPr>
          <w:b/>
          <w:bCs/>
          <w:noProof/>
          <w:sz w:val="22"/>
        </w:rPr>
        <w:t>441</w:t>
      </w:r>
      <w:r w:rsidRPr="003131ED">
        <w:rPr>
          <w:noProof/>
          <w:sz w:val="22"/>
        </w:rPr>
        <w:t>, 885–889.</w:t>
      </w:r>
    </w:p>
    <w:p w14:paraId="1223C35C"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Heras-Sandoval D., Pérez-Rojas J. M., Hernández-Damián J., Pedraza-Chaverri J. (2014) </w:t>
      </w:r>
      <w:r w:rsidRPr="003131ED">
        <w:rPr>
          <w:i/>
          <w:iCs/>
          <w:noProof/>
          <w:sz w:val="22"/>
        </w:rPr>
        <w:t>The role of PI3K/AKT/mTOR pathway in the modulation of autophagy and the clearance of protein aggregates in neurodegeneration</w:t>
      </w:r>
      <w:r w:rsidRPr="003131ED">
        <w:rPr>
          <w:noProof/>
          <w:sz w:val="22"/>
        </w:rPr>
        <w:t>. Pergamon.</w:t>
      </w:r>
    </w:p>
    <w:p w14:paraId="010A4896"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Jung C. H., Jun C. B., Ro S. H., Kim Y. M., Otto N. M., Cao J., Kundu M., Kim D. H. (2009) ULK-Atg13-FIP200 complexes mediate mTOR signaling to the autophagy machinery. </w:t>
      </w:r>
      <w:r w:rsidRPr="003131ED">
        <w:rPr>
          <w:i/>
          <w:iCs/>
          <w:noProof/>
          <w:sz w:val="22"/>
        </w:rPr>
        <w:t>Mol. Biol. Cell</w:t>
      </w:r>
      <w:r w:rsidRPr="003131ED">
        <w:rPr>
          <w:noProof/>
          <w:sz w:val="22"/>
        </w:rPr>
        <w:t xml:space="preserve"> </w:t>
      </w:r>
      <w:r w:rsidRPr="003131ED">
        <w:rPr>
          <w:b/>
          <w:bCs/>
          <w:noProof/>
          <w:sz w:val="22"/>
        </w:rPr>
        <w:t>20</w:t>
      </w:r>
      <w:r w:rsidRPr="003131ED">
        <w:rPr>
          <w:noProof/>
          <w:sz w:val="22"/>
        </w:rPr>
        <w:t>, 1992–2003.</w:t>
      </w:r>
    </w:p>
    <w:p w14:paraId="028F63C2"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Kim J., Kundu M., Viollet B., Guan K. L. (2011) AMPK and mTOR regulate autophagy through direct phosphorylation of Ulk1. </w:t>
      </w:r>
      <w:r w:rsidRPr="003131ED">
        <w:rPr>
          <w:i/>
          <w:iCs/>
          <w:noProof/>
          <w:sz w:val="22"/>
        </w:rPr>
        <w:t>Nat. Cell Biol.</w:t>
      </w:r>
      <w:r w:rsidRPr="003131ED">
        <w:rPr>
          <w:noProof/>
          <w:sz w:val="22"/>
        </w:rPr>
        <w:t xml:space="preserve"> </w:t>
      </w:r>
      <w:r w:rsidRPr="003131ED">
        <w:rPr>
          <w:b/>
          <w:bCs/>
          <w:noProof/>
          <w:sz w:val="22"/>
        </w:rPr>
        <w:t>13</w:t>
      </w:r>
      <w:r w:rsidRPr="003131ED">
        <w:rPr>
          <w:noProof/>
          <w:sz w:val="22"/>
        </w:rPr>
        <w:t>, 132–141.</w:t>
      </w:r>
    </w:p>
    <w:p w14:paraId="51F2C4F8"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Kimura S., Fujita N., Noda T., Yoshimori T. (2009) Monitoring autophagy in mammalian cultured cells through the dynamics of LC3, in </w:t>
      </w:r>
      <w:r w:rsidRPr="003131ED">
        <w:rPr>
          <w:i/>
          <w:iCs/>
          <w:noProof/>
          <w:sz w:val="22"/>
        </w:rPr>
        <w:t>Methods Enzymol.</w:t>
      </w:r>
      <w:r w:rsidRPr="003131ED">
        <w:rPr>
          <w:noProof/>
          <w:sz w:val="22"/>
        </w:rPr>
        <w:t>, Vol. 452, pp. 1–26. Academic Press.</w:t>
      </w:r>
    </w:p>
    <w:p w14:paraId="697B4BF9"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Komatsu M., Waguri S., Chiba T., Murata S., Iwata J. I., Tanida I., Ueno T., et al. (2006) Loss of autophagy in the central nervous system causes neurodegeneration in mice. </w:t>
      </w:r>
      <w:r w:rsidRPr="003131ED">
        <w:rPr>
          <w:i/>
          <w:iCs/>
          <w:noProof/>
          <w:sz w:val="22"/>
        </w:rPr>
        <w:t>Nature</w:t>
      </w:r>
      <w:r w:rsidRPr="003131ED">
        <w:rPr>
          <w:noProof/>
          <w:sz w:val="22"/>
        </w:rPr>
        <w:t xml:space="preserve"> </w:t>
      </w:r>
      <w:r w:rsidRPr="003131ED">
        <w:rPr>
          <w:b/>
          <w:bCs/>
          <w:noProof/>
          <w:sz w:val="22"/>
        </w:rPr>
        <w:t>441</w:t>
      </w:r>
      <w:r w:rsidRPr="003131ED">
        <w:rPr>
          <w:noProof/>
          <w:sz w:val="22"/>
        </w:rPr>
        <w:t>, 880–884.</w:t>
      </w:r>
    </w:p>
    <w:p w14:paraId="3A1E73F0"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Koukouraki P., Doxakis E. (2016) Constitutive translation of human α-synuclein is mediated by the 5’-untranslated region. </w:t>
      </w:r>
      <w:r w:rsidRPr="003131ED">
        <w:rPr>
          <w:i/>
          <w:iCs/>
          <w:noProof/>
          <w:sz w:val="22"/>
        </w:rPr>
        <w:t>Open Biol.</w:t>
      </w:r>
    </w:p>
    <w:p w14:paraId="3D5287EB"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Lee B. R., Kamitani T. (2011) Improved immunodetection of endogenous α-synuclein. </w:t>
      </w:r>
      <w:r w:rsidRPr="003131ED">
        <w:rPr>
          <w:i/>
          <w:iCs/>
          <w:noProof/>
          <w:sz w:val="22"/>
        </w:rPr>
        <w:t>PLoS One</w:t>
      </w:r>
      <w:r w:rsidRPr="003131ED">
        <w:rPr>
          <w:noProof/>
          <w:sz w:val="22"/>
        </w:rPr>
        <w:t xml:space="preserve"> </w:t>
      </w:r>
      <w:r w:rsidRPr="003131ED">
        <w:rPr>
          <w:b/>
          <w:bCs/>
          <w:noProof/>
          <w:sz w:val="22"/>
        </w:rPr>
        <w:t>6</w:t>
      </w:r>
      <w:r w:rsidRPr="003131ED">
        <w:rPr>
          <w:noProof/>
          <w:sz w:val="22"/>
        </w:rPr>
        <w:t>, e23939.</w:t>
      </w:r>
    </w:p>
    <w:p w14:paraId="22351206"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Lee S. Y., Patton S. M., Henderson R. J., Connor J. R. (2007) Consequences of expressing mutants of the hemochromatosis gene (HFE) into a human neuronal cell line lacking endogenous HFE. </w:t>
      </w:r>
      <w:r w:rsidRPr="003131ED">
        <w:rPr>
          <w:i/>
          <w:iCs/>
          <w:noProof/>
          <w:sz w:val="22"/>
        </w:rPr>
        <w:t>FASEB J.</w:t>
      </w:r>
      <w:r w:rsidRPr="003131ED">
        <w:rPr>
          <w:noProof/>
          <w:sz w:val="22"/>
        </w:rPr>
        <w:t xml:space="preserve"> </w:t>
      </w:r>
      <w:r w:rsidRPr="003131ED">
        <w:rPr>
          <w:b/>
          <w:bCs/>
          <w:noProof/>
          <w:sz w:val="22"/>
        </w:rPr>
        <w:t>21</w:t>
      </w:r>
      <w:r w:rsidRPr="003131ED">
        <w:rPr>
          <w:noProof/>
          <w:sz w:val="22"/>
        </w:rPr>
        <w:t>, 564–576.</w:t>
      </w:r>
    </w:p>
    <w:p w14:paraId="690126E0"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Liu Y., Lee S. Y., Neely E., Nandar W., Moyo M., Simmons Z., Connor J. R. (2011) Mutant HFE H63D Protein Is Associated with Prolonged Endoplasmic Reticulum Stress and Increased Neuronal Vulnerability. </w:t>
      </w:r>
      <w:r w:rsidRPr="003131ED">
        <w:rPr>
          <w:i/>
          <w:iCs/>
          <w:noProof/>
          <w:sz w:val="22"/>
        </w:rPr>
        <w:t>J. Biol. Chem.</w:t>
      </w:r>
      <w:r w:rsidRPr="003131ED">
        <w:rPr>
          <w:noProof/>
          <w:sz w:val="22"/>
        </w:rPr>
        <w:t xml:space="preserve"> </w:t>
      </w:r>
      <w:r w:rsidRPr="003131ED">
        <w:rPr>
          <w:b/>
          <w:bCs/>
          <w:noProof/>
          <w:sz w:val="22"/>
        </w:rPr>
        <w:t>286</w:t>
      </w:r>
      <w:r w:rsidRPr="003131ED">
        <w:rPr>
          <w:noProof/>
          <w:sz w:val="22"/>
        </w:rPr>
        <w:t>, 13161–13170.</w:t>
      </w:r>
    </w:p>
    <w:p w14:paraId="6C3D5024"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Luk K. C., Song C., O’Brien P., Stieber A., Branch J. R., Brunden K. R., Trojanowski J. Q., Lee V. M.-Y. (2009) Exogenous α-synuclein fibrils seed the formation of Lewy body-like intracellular inclusions in cultured cells. </w:t>
      </w:r>
      <w:r w:rsidRPr="003131ED">
        <w:rPr>
          <w:i/>
          <w:iCs/>
          <w:noProof/>
          <w:sz w:val="22"/>
        </w:rPr>
        <w:t>Proc. Natl. Acad. Sci. U. S. A.</w:t>
      </w:r>
      <w:r w:rsidRPr="003131ED">
        <w:rPr>
          <w:noProof/>
          <w:sz w:val="22"/>
        </w:rPr>
        <w:t xml:space="preserve"> </w:t>
      </w:r>
      <w:r w:rsidRPr="003131ED">
        <w:rPr>
          <w:b/>
          <w:bCs/>
          <w:noProof/>
          <w:sz w:val="22"/>
        </w:rPr>
        <w:t>106</w:t>
      </w:r>
      <w:r w:rsidRPr="003131ED">
        <w:rPr>
          <w:noProof/>
          <w:sz w:val="22"/>
        </w:rPr>
        <w:t>, 20051–20056.</w:t>
      </w:r>
    </w:p>
    <w:p w14:paraId="07385D15"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Mahul-Mellier A. L., Vercruysse F., MacO B., Ait-Bouziad N., Roo M. De, Muller D., Lashuel H. A. (2015) Fibril growth and seeding capacity play key roles in α-synuclein-mediated apoptotic cell death. </w:t>
      </w:r>
      <w:r w:rsidRPr="003131ED">
        <w:rPr>
          <w:i/>
          <w:iCs/>
          <w:noProof/>
          <w:sz w:val="22"/>
        </w:rPr>
        <w:t>Cell Death Differ.</w:t>
      </w:r>
      <w:r w:rsidRPr="003131ED">
        <w:rPr>
          <w:noProof/>
          <w:sz w:val="22"/>
        </w:rPr>
        <w:t xml:space="preserve"> </w:t>
      </w:r>
      <w:r w:rsidRPr="003131ED">
        <w:rPr>
          <w:b/>
          <w:bCs/>
          <w:noProof/>
          <w:sz w:val="22"/>
        </w:rPr>
        <w:t>22</w:t>
      </w:r>
      <w:r w:rsidRPr="003131ED">
        <w:rPr>
          <w:noProof/>
          <w:sz w:val="22"/>
        </w:rPr>
        <w:t>, 2107–2122.</w:t>
      </w:r>
    </w:p>
    <w:p w14:paraId="1857A69A"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Mariani S., Ventriglia M., Simonelli I., Bucossi S., Siotto M., Donno S., Vernieri F., Squitti R. (2016) Association between sex, systemic iron variation and probability of Parkinson’s disease. </w:t>
      </w:r>
      <w:r w:rsidRPr="003131ED">
        <w:rPr>
          <w:i/>
          <w:iCs/>
          <w:noProof/>
          <w:sz w:val="22"/>
        </w:rPr>
        <w:t>Int. J. Neurosci.</w:t>
      </w:r>
      <w:r w:rsidRPr="003131ED">
        <w:rPr>
          <w:noProof/>
          <w:sz w:val="22"/>
        </w:rPr>
        <w:t xml:space="preserve"> </w:t>
      </w:r>
      <w:r w:rsidRPr="003131ED">
        <w:rPr>
          <w:b/>
          <w:bCs/>
          <w:noProof/>
          <w:sz w:val="22"/>
        </w:rPr>
        <w:t>126</w:t>
      </w:r>
      <w:r w:rsidRPr="003131ED">
        <w:rPr>
          <w:noProof/>
          <w:sz w:val="22"/>
        </w:rPr>
        <w:t>, 354–360.</w:t>
      </w:r>
    </w:p>
    <w:p w14:paraId="759F2FB8"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lastRenderedPageBreak/>
        <w:t xml:space="preserve">Mariani S., Ventriglia M., Simonelli I., Spalletta G., Bucossi S., Siotto M., Assogna F., Melgari J. M., Vernieri F., Squitti R. (2013) Effects of hemochromatosis and transferrin gene mutations on peripheral iron dyshomeostasis in mild cognitive impairment and Alzheimer’s and Parkinson’s diseases. </w:t>
      </w:r>
      <w:r w:rsidRPr="003131ED">
        <w:rPr>
          <w:i/>
          <w:iCs/>
          <w:noProof/>
          <w:sz w:val="22"/>
        </w:rPr>
        <w:t>Front. Aging Neurosci.</w:t>
      </w:r>
      <w:r w:rsidRPr="003131ED">
        <w:rPr>
          <w:noProof/>
          <w:sz w:val="22"/>
        </w:rPr>
        <w:t xml:space="preserve"> </w:t>
      </w:r>
      <w:r w:rsidRPr="003131ED">
        <w:rPr>
          <w:b/>
          <w:bCs/>
          <w:noProof/>
          <w:sz w:val="22"/>
        </w:rPr>
        <w:t>5</w:t>
      </w:r>
      <w:r w:rsidRPr="003131ED">
        <w:rPr>
          <w:noProof/>
          <w:sz w:val="22"/>
        </w:rPr>
        <w:t>.</w:t>
      </w:r>
    </w:p>
    <w:p w14:paraId="76F69483"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Martin-Bastida A., Ward R. J., Newbould R., Piccini P., Sharp D., Kabba C., Patel M. C., et al. (2017) Brain iron chelation by deferiprone in a phase 2 randomised double-blinded placebo controlled clinical trial in Parkinson’s disease. </w:t>
      </w:r>
      <w:r w:rsidRPr="003131ED">
        <w:rPr>
          <w:i/>
          <w:iCs/>
          <w:noProof/>
          <w:sz w:val="22"/>
        </w:rPr>
        <w:t>Sci. Rep.</w:t>
      </w:r>
      <w:r w:rsidRPr="003131ED">
        <w:rPr>
          <w:noProof/>
          <w:sz w:val="22"/>
        </w:rPr>
        <w:t xml:space="preserve"> </w:t>
      </w:r>
      <w:r w:rsidRPr="003131ED">
        <w:rPr>
          <w:b/>
          <w:bCs/>
          <w:noProof/>
          <w:sz w:val="22"/>
        </w:rPr>
        <w:t>7</w:t>
      </w:r>
      <w:r w:rsidRPr="003131ED">
        <w:rPr>
          <w:noProof/>
          <w:sz w:val="22"/>
        </w:rPr>
        <w:t>, 1398.</w:t>
      </w:r>
    </w:p>
    <w:p w14:paraId="6CAC4A5E"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Nandar W., Neely E. B., Simmons Z., Connor J. R. (2014) H63D HFE genotype accelerates disease progression in animal models of amyotrophic lateral sclerosis. </w:t>
      </w:r>
      <w:r w:rsidRPr="003131ED">
        <w:rPr>
          <w:i/>
          <w:iCs/>
          <w:noProof/>
          <w:sz w:val="22"/>
        </w:rPr>
        <w:t>Biochim. Biophys. Acta - Mol. Basis Dis.</w:t>
      </w:r>
      <w:r w:rsidRPr="003131ED">
        <w:rPr>
          <w:noProof/>
          <w:sz w:val="22"/>
        </w:rPr>
        <w:t xml:space="preserve"> </w:t>
      </w:r>
      <w:r w:rsidRPr="003131ED">
        <w:rPr>
          <w:b/>
          <w:bCs/>
          <w:noProof/>
          <w:sz w:val="22"/>
        </w:rPr>
        <w:t>1842</w:t>
      </w:r>
      <w:r w:rsidRPr="003131ED">
        <w:rPr>
          <w:noProof/>
          <w:sz w:val="22"/>
        </w:rPr>
        <w:t>, 2413–2426.</w:t>
      </w:r>
    </w:p>
    <w:p w14:paraId="28ADDDD4"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Nandar W., Neely E. B., Unger E., Connor J. R. (2013) A mutation in the HFE gene is associated with altered brain iron profiles and increased oxidative stress in mice. </w:t>
      </w:r>
      <w:r w:rsidRPr="003131ED">
        <w:rPr>
          <w:i/>
          <w:iCs/>
          <w:noProof/>
          <w:sz w:val="22"/>
        </w:rPr>
        <w:t>Biochim. Biophys. Acta - Mol. Basis Dis.</w:t>
      </w:r>
      <w:r w:rsidRPr="003131ED">
        <w:rPr>
          <w:noProof/>
          <w:sz w:val="22"/>
        </w:rPr>
        <w:t xml:space="preserve"> </w:t>
      </w:r>
      <w:r w:rsidRPr="003131ED">
        <w:rPr>
          <w:b/>
          <w:bCs/>
          <w:noProof/>
          <w:sz w:val="22"/>
        </w:rPr>
        <w:t>1832</w:t>
      </w:r>
      <w:r w:rsidRPr="003131ED">
        <w:rPr>
          <w:noProof/>
          <w:sz w:val="22"/>
        </w:rPr>
        <w:t>, 729–741.</w:t>
      </w:r>
    </w:p>
    <w:p w14:paraId="3123D43A"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Nixon A. M., Meadowcroft M. D., Neely E. B., Snyder A. M., Purnell C. J., Wright J., Lamendella R., Nandar W., Huang X., Connor J. R. (2018) HFE Genotype Restricts the Response to Paraquat in a Mouse Model of Neurotoxicity. </w:t>
      </w:r>
      <w:r w:rsidRPr="003131ED">
        <w:rPr>
          <w:i/>
          <w:iCs/>
          <w:noProof/>
          <w:sz w:val="22"/>
        </w:rPr>
        <w:t>J. Neurochem.</w:t>
      </w:r>
      <w:r w:rsidRPr="003131ED">
        <w:rPr>
          <w:noProof/>
          <w:sz w:val="22"/>
        </w:rPr>
        <w:t xml:space="preserve"> </w:t>
      </w:r>
      <w:r w:rsidRPr="003131ED">
        <w:rPr>
          <w:b/>
          <w:bCs/>
          <w:noProof/>
          <w:sz w:val="22"/>
        </w:rPr>
        <w:t>145</w:t>
      </w:r>
      <w:r w:rsidRPr="003131ED">
        <w:rPr>
          <w:noProof/>
          <w:sz w:val="22"/>
        </w:rPr>
        <w:t>, 299–311.</w:t>
      </w:r>
    </w:p>
    <w:p w14:paraId="4691701D"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O’Regan G., Desouza R. M., Balestrino R., Schapira A. H. (2017) </w:t>
      </w:r>
      <w:r w:rsidRPr="003131ED">
        <w:rPr>
          <w:i/>
          <w:iCs/>
          <w:noProof/>
          <w:sz w:val="22"/>
        </w:rPr>
        <w:t>Glucocerebrosidase Mutations in Parkinson Disease</w:t>
      </w:r>
      <w:r w:rsidRPr="003131ED">
        <w:rPr>
          <w:noProof/>
          <w:sz w:val="22"/>
        </w:rPr>
        <w:t>.</w:t>
      </w:r>
    </w:p>
    <w:p w14:paraId="5486E778"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Ohyashiki J. H., Kobayashi C., Hamamura R., Okabe S., Tauchi T., Ohyashiki K. (2009) The oral iron chelator deferasirox represses signaling through the mTOR in myeloid leukemia cells by enhancing expression of REDD1. </w:t>
      </w:r>
      <w:r w:rsidRPr="003131ED">
        <w:rPr>
          <w:i/>
          <w:iCs/>
          <w:noProof/>
          <w:sz w:val="22"/>
        </w:rPr>
        <w:t>Cancer Sci.</w:t>
      </w:r>
      <w:r w:rsidRPr="003131ED">
        <w:rPr>
          <w:noProof/>
          <w:sz w:val="22"/>
        </w:rPr>
        <w:t xml:space="preserve"> </w:t>
      </w:r>
      <w:r w:rsidRPr="003131ED">
        <w:rPr>
          <w:b/>
          <w:bCs/>
          <w:noProof/>
          <w:sz w:val="22"/>
        </w:rPr>
        <w:t>100</w:t>
      </w:r>
      <w:r w:rsidRPr="003131ED">
        <w:rPr>
          <w:noProof/>
          <w:sz w:val="22"/>
        </w:rPr>
        <w:t>, 970–977.</w:t>
      </w:r>
    </w:p>
    <w:p w14:paraId="566AC5C0"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Pantopoulos K. (2004) </w:t>
      </w:r>
      <w:r w:rsidRPr="003131ED">
        <w:rPr>
          <w:i/>
          <w:iCs/>
          <w:noProof/>
          <w:sz w:val="22"/>
        </w:rPr>
        <w:t>Iron metabolism and the IRE/IRP regulatory system: An update</w:t>
      </w:r>
      <w:r w:rsidRPr="003131ED">
        <w:rPr>
          <w:noProof/>
          <w:sz w:val="22"/>
        </w:rPr>
        <w:t>. New York Academy of Sciences.</w:t>
      </w:r>
    </w:p>
    <w:p w14:paraId="59314AD0"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Patterson J. R., Polinski N. K., Duffy M. F., Kemp C. J., Luk K. C., Volpicelli-Daley L. A., Kanaan N. M., Sortwell C. E. (2019) Generation of Alpha-Synuclein Preformed Fibrils from Monomers and Use In Vivo. </w:t>
      </w:r>
      <w:r w:rsidRPr="003131ED">
        <w:rPr>
          <w:i/>
          <w:iCs/>
          <w:noProof/>
          <w:sz w:val="22"/>
        </w:rPr>
        <w:t>J. Vis. Exp.</w:t>
      </w:r>
      <w:r w:rsidRPr="003131ED">
        <w:rPr>
          <w:noProof/>
          <w:sz w:val="22"/>
        </w:rPr>
        <w:t xml:space="preserve"> 148.</w:t>
      </w:r>
    </w:p>
    <w:p w14:paraId="530FF543"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Pichler I., Greco M. F. Del, Gögele M., Lill C. M., Bertram L., Do C. B., Eriksson N., et al. (2013) Serum Iron Levels and the Risk of Parkinson Disease: A Mendelian Randomization Study. </w:t>
      </w:r>
      <w:r w:rsidRPr="003131ED">
        <w:rPr>
          <w:i/>
          <w:iCs/>
          <w:noProof/>
          <w:sz w:val="22"/>
        </w:rPr>
        <w:t>PLoS Med.</w:t>
      </w:r>
      <w:r w:rsidRPr="003131ED">
        <w:rPr>
          <w:noProof/>
          <w:sz w:val="22"/>
        </w:rPr>
        <w:t xml:space="preserve"> </w:t>
      </w:r>
      <w:r w:rsidRPr="003131ED">
        <w:rPr>
          <w:b/>
          <w:bCs/>
          <w:noProof/>
          <w:sz w:val="22"/>
        </w:rPr>
        <w:t>10</w:t>
      </w:r>
      <w:r w:rsidRPr="003131ED">
        <w:rPr>
          <w:noProof/>
          <w:sz w:val="22"/>
        </w:rPr>
        <w:t>.</w:t>
      </w:r>
    </w:p>
    <w:p w14:paraId="2640F42B"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Rhodes S. L., Buchanan D. D., Ahmed I., Taylor K. D., Loriot M. A., Sinsheimer J. S., Bronstein J. M., et al. (2014) Pooled analysis of iron-related genes in Parkinson’s disease: Association with transferrin. </w:t>
      </w:r>
      <w:r w:rsidRPr="003131ED">
        <w:rPr>
          <w:i/>
          <w:iCs/>
          <w:noProof/>
          <w:sz w:val="22"/>
        </w:rPr>
        <w:t>Neurobiol. Dis.</w:t>
      </w:r>
      <w:r w:rsidRPr="003131ED">
        <w:rPr>
          <w:noProof/>
          <w:sz w:val="22"/>
        </w:rPr>
        <w:t xml:space="preserve"> </w:t>
      </w:r>
      <w:r w:rsidRPr="003131ED">
        <w:rPr>
          <w:b/>
          <w:bCs/>
          <w:noProof/>
          <w:sz w:val="22"/>
        </w:rPr>
        <w:t>62</w:t>
      </w:r>
      <w:r w:rsidRPr="003131ED">
        <w:rPr>
          <w:noProof/>
          <w:sz w:val="22"/>
        </w:rPr>
        <w:t>, 172–178.</w:t>
      </w:r>
    </w:p>
    <w:p w14:paraId="24E3CD85"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Rockenstein E., Nuber S., Overk C. R., Ubhi K., Mante M., Patrick C., Adame A., et al. (2014) Accumulation of oligomer-prone α-synuclein exacerbates synaptic and neuronal degeneration in vivo. </w:t>
      </w:r>
      <w:r w:rsidRPr="003131ED">
        <w:rPr>
          <w:i/>
          <w:iCs/>
          <w:noProof/>
          <w:sz w:val="22"/>
        </w:rPr>
        <w:t>Brain</w:t>
      </w:r>
      <w:r w:rsidRPr="003131ED">
        <w:rPr>
          <w:noProof/>
          <w:sz w:val="22"/>
        </w:rPr>
        <w:t xml:space="preserve"> </w:t>
      </w:r>
      <w:r w:rsidRPr="003131ED">
        <w:rPr>
          <w:b/>
          <w:bCs/>
          <w:noProof/>
          <w:sz w:val="22"/>
        </w:rPr>
        <w:t>137</w:t>
      </w:r>
      <w:r w:rsidRPr="003131ED">
        <w:rPr>
          <w:noProof/>
          <w:sz w:val="22"/>
        </w:rPr>
        <w:t>, 1496–1513.</w:t>
      </w:r>
    </w:p>
    <w:p w14:paraId="52502E1F"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Simon M., Bourel M., Fauchet R., Genetet B. (1976) Association of HLA A3 and HLA B14 antigens with idiopathic haemochromatosis. </w:t>
      </w:r>
      <w:r w:rsidRPr="003131ED">
        <w:rPr>
          <w:i/>
          <w:iCs/>
          <w:noProof/>
          <w:sz w:val="22"/>
        </w:rPr>
        <w:t>Gut</w:t>
      </w:r>
      <w:r w:rsidRPr="003131ED">
        <w:rPr>
          <w:noProof/>
          <w:sz w:val="22"/>
        </w:rPr>
        <w:t xml:space="preserve"> </w:t>
      </w:r>
      <w:r w:rsidRPr="003131ED">
        <w:rPr>
          <w:b/>
          <w:bCs/>
          <w:noProof/>
          <w:sz w:val="22"/>
        </w:rPr>
        <w:t>17</w:t>
      </w:r>
      <w:r w:rsidRPr="003131ED">
        <w:rPr>
          <w:noProof/>
          <w:sz w:val="22"/>
        </w:rPr>
        <w:t>, 332–334.</w:t>
      </w:r>
    </w:p>
    <w:p w14:paraId="69064E0D"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lastRenderedPageBreak/>
        <w:t xml:space="preserve">Steinberg K. K., Cogswell M. E., Chang J. C., Caudill S. P., McQuillan G. M., Bowman B. A., Grummer-Strawn L. M., Sampson E. J., Khoury M. J., Gallagher M. L. (2001) Prevalence of C282Y and H63D Mutations in the Hemochromatosis (HFE) Gene in the United States. </w:t>
      </w:r>
      <w:r w:rsidRPr="003131ED">
        <w:rPr>
          <w:i/>
          <w:iCs/>
          <w:noProof/>
          <w:sz w:val="22"/>
        </w:rPr>
        <w:t>JAMA</w:t>
      </w:r>
      <w:r w:rsidRPr="003131ED">
        <w:rPr>
          <w:noProof/>
          <w:sz w:val="22"/>
        </w:rPr>
        <w:t xml:space="preserve"> </w:t>
      </w:r>
      <w:r w:rsidRPr="003131ED">
        <w:rPr>
          <w:b/>
          <w:bCs/>
          <w:noProof/>
          <w:sz w:val="22"/>
        </w:rPr>
        <w:t>285</w:t>
      </w:r>
      <w:r w:rsidRPr="003131ED">
        <w:rPr>
          <w:noProof/>
          <w:sz w:val="22"/>
        </w:rPr>
        <w:t>, 2216.</w:t>
      </w:r>
    </w:p>
    <w:p w14:paraId="31ED2D0E"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Su X. W., Lee S. Y., Mitchell R. M., Stephens H. E., Simmons Z., Connor J. R. (2013) H63D HFE polymorphisms are associated with increased disease duration and decreased muscle superoxide dismutase-1 expression in amyotrophic lateral sclerosis patients. </w:t>
      </w:r>
      <w:r w:rsidRPr="003131ED">
        <w:rPr>
          <w:i/>
          <w:iCs/>
          <w:noProof/>
          <w:sz w:val="22"/>
        </w:rPr>
        <w:t>Muscle and Nerve</w:t>
      </w:r>
      <w:r w:rsidRPr="003131ED">
        <w:rPr>
          <w:noProof/>
          <w:sz w:val="22"/>
        </w:rPr>
        <w:t xml:space="preserve"> </w:t>
      </w:r>
      <w:r w:rsidRPr="003131ED">
        <w:rPr>
          <w:b/>
          <w:bCs/>
          <w:noProof/>
          <w:sz w:val="22"/>
        </w:rPr>
        <w:t>48</w:t>
      </w:r>
      <w:r w:rsidRPr="003131ED">
        <w:rPr>
          <w:noProof/>
          <w:sz w:val="22"/>
        </w:rPr>
        <w:t>, 242–246.</w:t>
      </w:r>
    </w:p>
    <w:p w14:paraId="72E62DE0"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Tomatsu S., Orii K. O., Fleming R. E., Holden C. C., Waheed A., Britton R. S., Gutierrez M. A., Velez-Castrillon S., Bacon B. R., Sly W. S. (2003) Contribution of the H63D mutation in HFE to murine hereditary hemochromatosis. </w:t>
      </w:r>
      <w:r w:rsidRPr="003131ED">
        <w:rPr>
          <w:i/>
          <w:iCs/>
          <w:noProof/>
          <w:sz w:val="22"/>
        </w:rPr>
        <w:t>Proc. Natl. Acad. Sci.</w:t>
      </w:r>
      <w:r w:rsidRPr="003131ED">
        <w:rPr>
          <w:noProof/>
          <w:sz w:val="22"/>
        </w:rPr>
        <w:t xml:space="preserve"> </w:t>
      </w:r>
      <w:r w:rsidRPr="003131ED">
        <w:rPr>
          <w:b/>
          <w:bCs/>
          <w:noProof/>
          <w:sz w:val="22"/>
        </w:rPr>
        <w:t>100</w:t>
      </w:r>
      <w:r w:rsidRPr="003131ED">
        <w:rPr>
          <w:noProof/>
          <w:sz w:val="22"/>
        </w:rPr>
        <w:t>, 15788–15793.</w:t>
      </w:r>
    </w:p>
    <w:p w14:paraId="037AE8A2"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Vogiatzi T., Xilouri M., Vekrellis K., Stefanis L. (2008) Wild type α-synuclein is degraded by chaperone-mediated autophagy and macroautophagy in neuronal cells. </w:t>
      </w:r>
      <w:r w:rsidRPr="003131ED">
        <w:rPr>
          <w:i/>
          <w:iCs/>
          <w:noProof/>
          <w:sz w:val="22"/>
        </w:rPr>
        <w:t>J. Biol. Chem.</w:t>
      </w:r>
      <w:r w:rsidRPr="003131ED">
        <w:rPr>
          <w:noProof/>
          <w:sz w:val="22"/>
        </w:rPr>
        <w:t xml:space="preserve"> </w:t>
      </w:r>
      <w:r w:rsidRPr="003131ED">
        <w:rPr>
          <w:b/>
          <w:bCs/>
          <w:noProof/>
          <w:sz w:val="22"/>
        </w:rPr>
        <w:t>283</w:t>
      </w:r>
      <w:r w:rsidRPr="003131ED">
        <w:rPr>
          <w:noProof/>
          <w:sz w:val="22"/>
        </w:rPr>
        <w:t>, 23542–23556.</w:t>
      </w:r>
    </w:p>
    <w:p w14:paraId="1D3B44E1"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Volpicelli-Daley L. A., Luk K. C., Lee V. M.-Y. (2014) Addition of exogenous α-synuclein preformed fibrils to primary neuronal cultures to seed recruitment of endogenous α-synuclein to Lewy body and Lewy neurite–like aggregates. </w:t>
      </w:r>
      <w:r w:rsidRPr="003131ED">
        <w:rPr>
          <w:i/>
          <w:iCs/>
          <w:noProof/>
          <w:sz w:val="22"/>
        </w:rPr>
        <w:t>Nat. Protoc.</w:t>
      </w:r>
      <w:r w:rsidRPr="003131ED">
        <w:rPr>
          <w:noProof/>
          <w:sz w:val="22"/>
        </w:rPr>
        <w:t xml:space="preserve"> </w:t>
      </w:r>
      <w:r w:rsidRPr="003131ED">
        <w:rPr>
          <w:b/>
          <w:bCs/>
          <w:noProof/>
          <w:sz w:val="22"/>
        </w:rPr>
        <w:t>9</w:t>
      </w:r>
      <w:r w:rsidRPr="003131ED">
        <w:rPr>
          <w:noProof/>
          <w:sz w:val="22"/>
        </w:rPr>
        <w:t>, 2135–2146.</w:t>
      </w:r>
    </w:p>
    <w:p w14:paraId="05CE1DCB"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Volpicelli-Daley L. A., Luk K. C., Patel T. P., Tanik S. A., Riddle D. M., Stieber A., Meaney D. F., Trojanowski J. Q., Lee V. M. Y. (2011) Exogenous Alpha-Synuclein Fibrils Induce Lewy Body Pathology Leading to Synaptic Dysfunction and Neuron Death. </w:t>
      </w:r>
      <w:r w:rsidRPr="003131ED">
        <w:rPr>
          <w:i/>
          <w:iCs/>
          <w:noProof/>
          <w:sz w:val="22"/>
        </w:rPr>
        <w:t>Neuron</w:t>
      </w:r>
      <w:r w:rsidRPr="003131ED">
        <w:rPr>
          <w:noProof/>
          <w:sz w:val="22"/>
        </w:rPr>
        <w:t xml:space="preserve"> </w:t>
      </w:r>
      <w:r w:rsidRPr="003131ED">
        <w:rPr>
          <w:b/>
          <w:bCs/>
          <w:noProof/>
          <w:sz w:val="22"/>
        </w:rPr>
        <w:t>72</w:t>
      </w:r>
      <w:r w:rsidRPr="003131ED">
        <w:rPr>
          <w:noProof/>
          <w:sz w:val="22"/>
        </w:rPr>
        <w:t>, 57–71.</w:t>
      </w:r>
    </w:p>
    <w:p w14:paraId="4F59B51C"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Wang J.-Y., Zhuang Q.-Q., Zhu L.-B., Zhu H., Li T., Li R., Chen S.-F., et al. (2016) Meta-analysis of brain iron levels of Parkinson’s disease patients determined by postmortem and MRI measurements. </w:t>
      </w:r>
      <w:r w:rsidRPr="003131ED">
        <w:rPr>
          <w:i/>
          <w:iCs/>
          <w:noProof/>
          <w:sz w:val="22"/>
        </w:rPr>
        <w:t>Sci. Rep.</w:t>
      </w:r>
      <w:r w:rsidRPr="003131ED">
        <w:rPr>
          <w:noProof/>
          <w:sz w:val="22"/>
        </w:rPr>
        <w:t xml:space="preserve"> </w:t>
      </w:r>
      <w:r w:rsidRPr="003131ED">
        <w:rPr>
          <w:b/>
          <w:bCs/>
          <w:noProof/>
          <w:sz w:val="22"/>
        </w:rPr>
        <w:t>6</w:t>
      </w:r>
      <w:r w:rsidRPr="003131ED">
        <w:rPr>
          <w:noProof/>
          <w:sz w:val="22"/>
        </w:rPr>
        <w:t>, 36669.</w:t>
      </w:r>
    </w:p>
    <w:p w14:paraId="3F85CE23"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Wang R., Wang Y., Qu L., Chen B., Jiang H., Song N., Xie J. (2019) Iron-induced oxidative stress contributes to α-synuclein phosphorylation and up-regulation via polo-like kinase 2 and casein kinase 2. </w:t>
      </w:r>
      <w:r w:rsidRPr="003131ED">
        <w:rPr>
          <w:i/>
          <w:iCs/>
          <w:noProof/>
          <w:sz w:val="22"/>
        </w:rPr>
        <w:t>Neurochem. Int.</w:t>
      </w:r>
      <w:r w:rsidRPr="003131ED">
        <w:rPr>
          <w:noProof/>
          <w:sz w:val="22"/>
        </w:rPr>
        <w:t xml:space="preserve"> </w:t>
      </w:r>
      <w:r w:rsidRPr="003131ED">
        <w:rPr>
          <w:b/>
          <w:bCs/>
          <w:noProof/>
          <w:sz w:val="22"/>
        </w:rPr>
        <w:t>125</w:t>
      </w:r>
      <w:r w:rsidRPr="003131ED">
        <w:rPr>
          <w:noProof/>
          <w:sz w:val="22"/>
        </w:rPr>
        <w:t>, 127–135.</w:t>
      </w:r>
    </w:p>
    <w:p w14:paraId="0B41DBD3"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Wang X. S., Lee S., Simmons Z., Boyer P., Scott K., Liu W., Connor J. (2004) Increased incidence of the Hfe mutation in amyotrophic lateral sclerosis and related cellular consequences. </w:t>
      </w:r>
      <w:r w:rsidRPr="003131ED">
        <w:rPr>
          <w:i/>
          <w:iCs/>
          <w:noProof/>
          <w:sz w:val="22"/>
        </w:rPr>
        <w:t>J. Neurol. Sci.</w:t>
      </w:r>
      <w:r w:rsidRPr="003131ED">
        <w:rPr>
          <w:noProof/>
          <w:sz w:val="22"/>
        </w:rPr>
        <w:t xml:space="preserve"> </w:t>
      </w:r>
      <w:r w:rsidRPr="003131ED">
        <w:rPr>
          <w:b/>
          <w:bCs/>
          <w:noProof/>
          <w:sz w:val="22"/>
        </w:rPr>
        <w:t>227</w:t>
      </w:r>
      <w:r w:rsidRPr="003131ED">
        <w:rPr>
          <w:noProof/>
          <w:sz w:val="22"/>
        </w:rPr>
        <w:t>, 27–33.</w:t>
      </w:r>
    </w:p>
    <w:p w14:paraId="789AEF96"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Whitney M. L., Jefferson L. S., Kimball S. R. (2009) ATF4 is necessary and sufficient for ER stress-induced upregulation of REDD1 expression. </w:t>
      </w:r>
      <w:r w:rsidRPr="003131ED">
        <w:rPr>
          <w:i/>
          <w:iCs/>
          <w:noProof/>
          <w:sz w:val="22"/>
        </w:rPr>
        <w:t>Biochem. Biophys. Res. Commun.</w:t>
      </w:r>
      <w:r w:rsidRPr="003131ED">
        <w:rPr>
          <w:noProof/>
          <w:sz w:val="22"/>
        </w:rPr>
        <w:t xml:space="preserve"> </w:t>
      </w:r>
      <w:r w:rsidRPr="003131ED">
        <w:rPr>
          <w:b/>
          <w:bCs/>
          <w:noProof/>
          <w:sz w:val="22"/>
        </w:rPr>
        <w:t>379</w:t>
      </w:r>
      <w:r w:rsidRPr="003131ED">
        <w:rPr>
          <w:noProof/>
          <w:sz w:val="22"/>
        </w:rPr>
        <w:t>, 451–455.</w:t>
      </w:r>
    </w:p>
    <w:p w14:paraId="6AE647B3"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Winner B., Jappelli R., Maji S. K., Desplats P. A., Boyer L., Aigner S., Hetzer C., et al. (2011) In vivo demonstration that α-synuclein oligomers are toxic. </w:t>
      </w:r>
      <w:r w:rsidRPr="003131ED">
        <w:rPr>
          <w:i/>
          <w:iCs/>
          <w:noProof/>
          <w:sz w:val="22"/>
        </w:rPr>
        <w:t>Proc. Natl. Acad. Sci. U. S. A.</w:t>
      </w:r>
      <w:r w:rsidRPr="003131ED">
        <w:rPr>
          <w:noProof/>
          <w:sz w:val="22"/>
        </w:rPr>
        <w:t xml:space="preserve"> </w:t>
      </w:r>
      <w:r w:rsidRPr="003131ED">
        <w:rPr>
          <w:b/>
          <w:bCs/>
          <w:noProof/>
          <w:sz w:val="22"/>
        </w:rPr>
        <w:t>108</w:t>
      </w:r>
      <w:r w:rsidRPr="003131ED">
        <w:rPr>
          <w:noProof/>
          <w:sz w:val="22"/>
        </w:rPr>
        <w:t>, 4194–4199.</w:t>
      </w:r>
    </w:p>
    <w:p w14:paraId="1F5981C2"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Winterbourn C. C. (1995) Toxicity of iron and hydrogen peroxide: the Fenton reaction. </w:t>
      </w:r>
      <w:r w:rsidRPr="003131ED">
        <w:rPr>
          <w:i/>
          <w:iCs/>
          <w:noProof/>
          <w:sz w:val="22"/>
        </w:rPr>
        <w:t>Toxicol. Lett.</w:t>
      </w:r>
      <w:r w:rsidRPr="003131ED">
        <w:rPr>
          <w:noProof/>
          <w:sz w:val="22"/>
        </w:rPr>
        <w:t xml:space="preserve"> </w:t>
      </w:r>
      <w:r w:rsidRPr="003131ED">
        <w:rPr>
          <w:b/>
          <w:bCs/>
          <w:noProof/>
          <w:sz w:val="22"/>
        </w:rPr>
        <w:t>82</w:t>
      </w:r>
      <w:r w:rsidRPr="003131ED">
        <w:rPr>
          <w:noProof/>
          <w:sz w:val="22"/>
        </w:rPr>
        <w:t>–</w:t>
      </w:r>
      <w:r w:rsidRPr="003131ED">
        <w:rPr>
          <w:b/>
          <w:bCs/>
          <w:noProof/>
          <w:sz w:val="22"/>
        </w:rPr>
        <w:t>83</w:t>
      </w:r>
      <w:r w:rsidRPr="003131ED">
        <w:rPr>
          <w:noProof/>
          <w:sz w:val="22"/>
        </w:rPr>
        <w:t>, 969–974.</w:t>
      </w:r>
    </w:p>
    <w:p w14:paraId="47D3C053"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t xml:space="preserve">Wong Y. C., Krainc D. (2017) α-Synuclein toxicity in neurodegeneration: mechanism and therapeutic strategies. </w:t>
      </w:r>
      <w:r w:rsidRPr="003131ED">
        <w:rPr>
          <w:i/>
          <w:iCs/>
          <w:noProof/>
          <w:sz w:val="22"/>
        </w:rPr>
        <w:t>Nat. Med.</w:t>
      </w:r>
      <w:r w:rsidRPr="003131ED">
        <w:rPr>
          <w:noProof/>
          <w:sz w:val="22"/>
        </w:rPr>
        <w:t xml:space="preserve"> </w:t>
      </w:r>
      <w:r w:rsidRPr="003131ED">
        <w:rPr>
          <w:b/>
          <w:bCs/>
          <w:noProof/>
          <w:sz w:val="22"/>
        </w:rPr>
        <w:t>23</w:t>
      </w:r>
      <w:r w:rsidRPr="003131ED">
        <w:rPr>
          <w:noProof/>
          <w:sz w:val="22"/>
        </w:rPr>
        <w:t>, 1–13.</w:t>
      </w:r>
    </w:p>
    <w:p w14:paraId="2186099E" w14:textId="77777777" w:rsidR="00931B4F" w:rsidRPr="003131ED" w:rsidRDefault="00931B4F" w:rsidP="00931B4F">
      <w:pPr>
        <w:widowControl w:val="0"/>
        <w:autoSpaceDE w:val="0"/>
        <w:autoSpaceDN w:val="0"/>
        <w:adjustRightInd w:val="0"/>
        <w:spacing w:line="360" w:lineRule="auto"/>
        <w:ind w:left="480" w:hanging="480"/>
        <w:rPr>
          <w:noProof/>
          <w:sz w:val="22"/>
        </w:rPr>
      </w:pPr>
      <w:r w:rsidRPr="003131ED">
        <w:rPr>
          <w:noProof/>
          <w:sz w:val="22"/>
        </w:rPr>
        <w:lastRenderedPageBreak/>
        <w:t xml:space="preserve">Xiao Y., Chen X., Huang S., Li G., Mo M., Zhang L., Chen C., et al. (2018) Iron promotes α-synuclein aggregation and transmission by inhibiting TFEB-mediated autophagosome-lysosome fusion. </w:t>
      </w:r>
      <w:r w:rsidRPr="003131ED">
        <w:rPr>
          <w:i/>
          <w:iCs/>
          <w:noProof/>
          <w:sz w:val="22"/>
        </w:rPr>
        <w:t>J. Neurochem.</w:t>
      </w:r>
      <w:r w:rsidRPr="003131ED">
        <w:rPr>
          <w:noProof/>
          <w:sz w:val="22"/>
        </w:rPr>
        <w:t xml:space="preserve"> </w:t>
      </w:r>
      <w:r w:rsidRPr="003131ED">
        <w:rPr>
          <w:b/>
          <w:bCs/>
          <w:noProof/>
          <w:sz w:val="22"/>
        </w:rPr>
        <w:t>145</w:t>
      </w:r>
      <w:r w:rsidRPr="003131ED">
        <w:rPr>
          <w:noProof/>
          <w:sz w:val="22"/>
        </w:rPr>
        <w:t>, 34–50.</w:t>
      </w:r>
    </w:p>
    <w:p w14:paraId="09DAC4D8" w14:textId="2559C797" w:rsidR="001C5C2B" w:rsidRPr="003131ED" w:rsidRDefault="00114984" w:rsidP="00931B4F">
      <w:pPr>
        <w:widowControl w:val="0"/>
        <w:autoSpaceDE w:val="0"/>
        <w:autoSpaceDN w:val="0"/>
        <w:adjustRightInd w:val="0"/>
        <w:spacing w:line="360" w:lineRule="auto"/>
        <w:ind w:left="480" w:hanging="480"/>
        <w:rPr>
          <w:b/>
          <w:sz w:val="22"/>
          <w:szCs w:val="22"/>
        </w:rPr>
      </w:pPr>
      <w:r w:rsidRPr="003131ED">
        <w:rPr>
          <w:b/>
          <w:sz w:val="22"/>
          <w:szCs w:val="22"/>
        </w:rPr>
        <w:fldChar w:fldCharType="end"/>
      </w:r>
    </w:p>
    <w:p w14:paraId="267FC73C" w14:textId="6B03AD77" w:rsidR="001C5C2B" w:rsidRPr="003131ED" w:rsidRDefault="005F469C" w:rsidP="00D06336">
      <w:pPr>
        <w:widowControl w:val="0"/>
        <w:autoSpaceDE w:val="0"/>
        <w:autoSpaceDN w:val="0"/>
        <w:adjustRightInd w:val="0"/>
        <w:spacing w:line="360" w:lineRule="auto"/>
        <w:ind w:left="480" w:hanging="480"/>
        <w:rPr>
          <w:b/>
          <w:sz w:val="22"/>
          <w:szCs w:val="22"/>
        </w:rPr>
      </w:pPr>
      <w:r w:rsidRPr="003131ED">
        <w:rPr>
          <w:b/>
          <w:sz w:val="22"/>
          <w:szCs w:val="22"/>
        </w:rPr>
        <w:t>Figure legends</w:t>
      </w:r>
    </w:p>
    <w:p w14:paraId="1270B753" w14:textId="34ADA4BC" w:rsidR="00E93351" w:rsidRPr="003131ED" w:rsidRDefault="00E93351" w:rsidP="00B62B0A">
      <w:pPr>
        <w:spacing w:line="360" w:lineRule="auto"/>
        <w:jc w:val="both"/>
        <w:textDirection w:val="btLr"/>
        <w:rPr>
          <w:rFonts w:eastAsia="Arial"/>
          <w:color w:val="000000"/>
          <w:sz w:val="22"/>
          <w:szCs w:val="22"/>
        </w:rPr>
      </w:pPr>
      <w:r w:rsidRPr="003131ED">
        <w:rPr>
          <w:rFonts w:eastAsia="Arial"/>
          <w:b/>
          <w:color w:val="000000"/>
          <w:sz w:val="22"/>
          <w:szCs w:val="22"/>
        </w:rPr>
        <w:t xml:space="preserve">Fig. 1. </w:t>
      </w:r>
      <w:r w:rsidR="0033595B" w:rsidRPr="003131ED">
        <w:rPr>
          <w:rFonts w:eastAsia="Arial"/>
          <w:b/>
          <w:color w:val="000000"/>
          <w:sz w:val="22"/>
          <w:szCs w:val="22"/>
        </w:rPr>
        <w:t>Mouse PFF injection and behavioral testing timeline</w:t>
      </w:r>
      <w:r w:rsidR="00764028" w:rsidRPr="003131ED">
        <w:rPr>
          <w:rFonts w:eastAsia="Arial"/>
          <w:color w:val="000000"/>
          <w:sz w:val="22"/>
          <w:szCs w:val="22"/>
        </w:rPr>
        <w:t>.</w:t>
      </w:r>
      <w:r w:rsidR="000E270D" w:rsidRPr="003131ED">
        <w:rPr>
          <w:rFonts w:eastAsia="Arial"/>
          <w:color w:val="000000"/>
          <w:sz w:val="22"/>
          <w:szCs w:val="22"/>
        </w:rPr>
        <w:t xml:space="preserve"> 3</w:t>
      </w:r>
      <w:r w:rsidR="009B542C" w:rsidRPr="003131ED">
        <w:rPr>
          <w:rFonts w:eastAsia="Arial"/>
          <w:color w:val="000000"/>
          <w:sz w:val="22"/>
          <w:szCs w:val="22"/>
        </w:rPr>
        <w:t>-</w:t>
      </w:r>
      <w:r w:rsidR="000E270D" w:rsidRPr="003131ED">
        <w:rPr>
          <w:rFonts w:eastAsia="Arial"/>
          <w:color w:val="000000"/>
          <w:sz w:val="22"/>
          <w:szCs w:val="22"/>
        </w:rPr>
        <w:t>month</w:t>
      </w:r>
      <w:r w:rsidR="009B542C" w:rsidRPr="003131ED">
        <w:rPr>
          <w:rFonts w:eastAsia="Arial"/>
          <w:color w:val="000000"/>
          <w:sz w:val="22"/>
          <w:szCs w:val="22"/>
        </w:rPr>
        <w:t>-</w:t>
      </w:r>
      <w:r w:rsidR="000E270D" w:rsidRPr="003131ED">
        <w:rPr>
          <w:rFonts w:eastAsia="Arial"/>
          <w:color w:val="000000"/>
          <w:sz w:val="22"/>
          <w:szCs w:val="22"/>
        </w:rPr>
        <w:t xml:space="preserve">old WT and H67D </w:t>
      </w:r>
      <w:r w:rsidR="000E270D" w:rsidRPr="003131ED">
        <w:rPr>
          <w:rFonts w:eastAsia="Arial"/>
          <w:i/>
          <w:color w:val="000000"/>
          <w:sz w:val="22"/>
          <w:szCs w:val="22"/>
        </w:rPr>
        <w:t>Hfe</w:t>
      </w:r>
      <w:r w:rsidR="000E270D" w:rsidRPr="003131ED">
        <w:rPr>
          <w:rFonts w:eastAsia="Arial"/>
          <w:color w:val="000000"/>
          <w:sz w:val="22"/>
          <w:szCs w:val="22"/>
        </w:rPr>
        <w:t xml:space="preserve"> mice were injected with </w:t>
      </w:r>
      <w:r w:rsidR="00C738A5" w:rsidRPr="003131ED">
        <w:rPr>
          <w:rFonts w:eastAsia="Arial"/>
          <w:color w:val="000000"/>
          <w:sz w:val="22"/>
          <w:szCs w:val="22"/>
        </w:rPr>
        <w:t>PBS</w:t>
      </w:r>
      <w:r w:rsidR="009B542C" w:rsidRPr="003131ED">
        <w:rPr>
          <w:rFonts w:eastAsia="Arial"/>
          <w:color w:val="000000"/>
          <w:sz w:val="22"/>
          <w:szCs w:val="22"/>
        </w:rPr>
        <w:t xml:space="preserve"> and 5ug </w:t>
      </w:r>
      <w:r w:rsidR="009B542C" w:rsidRPr="003131ED">
        <w:rPr>
          <w:rFonts w:eastAsia="Arial"/>
          <w:color w:val="000000"/>
          <w:sz w:val="22"/>
          <w:szCs w:val="22"/>
        </w:rPr>
        <w:sym w:font="Symbol" w:char="F061"/>
      </w:r>
      <w:r w:rsidR="009B542C" w:rsidRPr="003131ED">
        <w:rPr>
          <w:rFonts w:eastAsia="Arial"/>
          <w:color w:val="000000"/>
          <w:sz w:val="22"/>
          <w:szCs w:val="22"/>
        </w:rPr>
        <w:t xml:space="preserve">Syn PFF. One week after the injection, mice were trained on the rotor rod and their baseline motor function (time to first fall, total number of falls) was recorded. At 1 month, 2 months, and 3 months post-injection, body weights was measured to assess overall health of the mice and rotor rod testing was performed.  </w:t>
      </w:r>
      <w:r w:rsidR="003F063A" w:rsidRPr="003131ED">
        <w:rPr>
          <w:rFonts w:eastAsia="Arial"/>
          <w:color w:val="000000"/>
          <w:sz w:val="22"/>
          <w:szCs w:val="22"/>
        </w:rPr>
        <w:t xml:space="preserve">At 3 months post-injection, brain tissues were harvested for histological studies. </w:t>
      </w:r>
    </w:p>
    <w:p w14:paraId="4A3D0212" w14:textId="77777777" w:rsidR="00E93351" w:rsidRPr="003131ED" w:rsidRDefault="00E93351" w:rsidP="00B62B0A">
      <w:pPr>
        <w:spacing w:line="360" w:lineRule="auto"/>
        <w:jc w:val="both"/>
        <w:textDirection w:val="btLr"/>
        <w:rPr>
          <w:rFonts w:eastAsia="Arial"/>
          <w:b/>
          <w:color w:val="000000"/>
          <w:sz w:val="22"/>
          <w:szCs w:val="22"/>
        </w:rPr>
      </w:pPr>
    </w:p>
    <w:p w14:paraId="0EAF22F9" w14:textId="0B73341E" w:rsidR="00B62B0A" w:rsidRPr="003131ED" w:rsidRDefault="00B62B0A" w:rsidP="00B62B0A">
      <w:pPr>
        <w:spacing w:line="360" w:lineRule="auto"/>
        <w:jc w:val="both"/>
        <w:textDirection w:val="btLr"/>
        <w:rPr>
          <w:sz w:val="22"/>
          <w:szCs w:val="22"/>
        </w:rPr>
      </w:pPr>
      <w:r w:rsidRPr="003131ED">
        <w:rPr>
          <w:rFonts w:eastAsia="Arial"/>
          <w:b/>
          <w:color w:val="000000"/>
          <w:sz w:val="22"/>
          <w:szCs w:val="22"/>
        </w:rPr>
        <w:t>Fig</w:t>
      </w:r>
      <w:r w:rsidR="00BC11AA" w:rsidRPr="003131ED">
        <w:rPr>
          <w:rFonts w:eastAsia="Arial"/>
          <w:b/>
          <w:color w:val="000000"/>
          <w:sz w:val="22"/>
          <w:szCs w:val="22"/>
        </w:rPr>
        <w:t>.</w:t>
      </w:r>
      <w:r w:rsidRPr="003131ED">
        <w:rPr>
          <w:rFonts w:eastAsia="Arial"/>
          <w:b/>
          <w:color w:val="000000"/>
          <w:sz w:val="22"/>
          <w:szCs w:val="22"/>
        </w:rPr>
        <w:t xml:space="preserve"> </w:t>
      </w:r>
      <w:r w:rsidR="00BC11AA" w:rsidRPr="003131ED">
        <w:rPr>
          <w:rFonts w:eastAsia="Arial"/>
          <w:b/>
          <w:color w:val="000000"/>
          <w:sz w:val="22"/>
          <w:szCs w:val="22"/>
        </w:rPr>
        <w:t>2</w:t>
      </w:r>
      <w:r w:rsidRPr="003131ED">
        <w:rPr>
          <w:rFonts w:eastAsia="Arial"/>
          <w:color w:val="000000"/>
          <w:sz w:val="22"/>
          <w:szCs w:val="22"/>
        </w:rPr>
        <w:t xml:space="preserve">. </w:t>
      </w:r>
      <w:r w:rsidRPr="003131ED">
        <w:rPr>
          <w:rFonts w:eastAsia="Arial"/>
          <w:b/>
          <w:color w:val="000000"/>
          <w:sz w:val="22"/>
          <w:szCs w:val="22"/>
        </w:rPr>
        <w:t xml:space="preserve">H63D </w:t>
      </w:r>
      <w:r w:rsidRPr="003131ED">
        <w:rPr>
          <w:rFonts w:eastAsia="Arial"/>
          <w:b/>
          <w:i/>
          <w:color w:val="000000"/>
          <w:sz w:val="22"/>
          <w:szCs w:val="22"/>
        </w:rPr>
        <w:t>HFE</w:t>
      </w:r>
      <w:r w:rsidRPr="003131ED">
        <w:rPr>
          <w:rFonts w:eastAsia="Arial"/>
          <w:b/>
          <w:color w:val="000000"/>
          <w:sz w:val="22"/>
          <w:szCs w:val="22"/>
        </w:rPr>
        <w:t xml:space="preserve"> expressing cells have decreased </w:t>
      </w:r>
      <w:r w:rsidRPr="003131ED">
        <w:rPr>
          <w:rFonts w:eastAsia="Arial"/>
          <w:b/>
          <w:color w:val="000000"/>
          <w:sz w:val="22"/>
          <w:szCs w:val="22"/>
        </w:rPr>
        <w:sym w:font="Symbol" w:char="F061"/>
      </w:r>
      <w:r w:rsidRPr="003131ED">
        <w:rPr>
          <w:rFonts w:eastAsia="Arial"/>
          <w:b/>
          <w:color w:val="000000"/>
          <w:sz w:val="22"/>
          <w:szCs w:val="22"/>
        </w:rPr>
        <w:t>-synuclein</w:t>
      </w:r>
      <w:r w:rsidRPr="003131ED">
        <w:rPr>
          <w:rFonts w:eastAsia="Arial"/>
          <w:color w:val="000000"/>
          <w:sz w:val="22"/>
          <w:szCs w:val="22"/>
        </w:rPr>
        <w:t xml:space="preserve"> (A) Calcein fluorescence was measured from WT and H63D </w:t>
      </w:r>
      <w:r w:rsidRPr="003131ED">
        <w:rPr>
          <w:rFonts w:eastAsia="Arial"/>
          <w:i/>
          <w:color w:val="000000"/>
          <w:sz w:val="22"/>
          <w:szCs w:val="22"/>
        </w:rPr>
        <w:t>HFE</w:t>
      </w:r>
      <w:r w:rsidRPr="003131ED">
        <w:rPr>
          <w:rFonts w:eastAsia="Arial"/>
          <w:color w:val="000000"/>
          <w:sz w:val="22"/>
          <w:szCs w:val="22"/>
        </w:rPr>
        <w:t xml:space="preserve"> expressing cells as a marker of intracellular labile iron. Ca fluorescence is inversely related to LIP. n = 3</w:t>
      </w:r>
      <w:r w:rsidR="00171EE4" w:rsidRPr="003131ED">
        <w:rPr>
          <w:rFonts w:eastAsia="Arial"/>
          <w:color w:val="000000"/>
          <w:sz w:val="22"/>
          <w:szCs w:val="22"/>
        </w:rPr>
        <w:t xml:space="preserve"> independent cell culture preparations (3 technical replicates per data point)</w:t>
      </w:r>
      <w:r w:rsidRPr="003131ED">
        <w:rPr>
          <w:rFonts w:eastAsia="Arial"/>
          <w:color w:val="000000"/>
          <w:sz w:val="22"/>
          <w:szCs w:val="22"/>
        </w:rPr>
        <w:t xml:space="preserve">, *** p &lt; 0.001, Student’s t-test (B) H-ferritin western blot shows increased expression in H63D </w:t>
      </w:r>
      <w:r w:rsidRPr="003131ED">
        <w:rPr>
          <w:rFonts w:eastAsia="Arial"/>
          <w:i/>
          <w:color w:val="000000"/>
          <w:sz w:val="22"/>
          <w:szCs w:val="22"/>
        </w:rPr>
        <w:t>HFE</w:t>
      </w:r>
      <w:r w:rsidRPr="003131ED">
        <w:rPr>
          <w:rFonts w:eastAsia="Arial"/>
          <w:color w:val="000000"/>
          <w:sz w:val="22"/>
          <w:szCs w:val="22"/>
        </w:rPr>
        <w:t xml:space="preserve"> cells compared to wildtype</w:t>
      </w:r>
      <w:r w:rsidR="00171EE4" w:rsidRPr="003131ED">
        <w:rPr>
          <w:rFonts w:eastAsia="Arial"/>
          <w:color w:val="000000"/>
          <w:sz w:val="22"/>
          <w:szCs w:val="22"/>
        </w:rPr>
        <w:t xml:space="preserve"> </w:t>
      </w:r>
      <w:r w:rsidRPr="003131ED">
        <w:rPr>
          <w:rFonts w:eastAsia="Arial"/>
          <w:color w:val="000000"/>
          <w:sz w:val="22"/>
          <w:szCs w:val="22"/>
        </w:rPr>
        <w:t xml:space="preserve">(C) Representative immunoblot showing decreased </w:t>
      </w:r>
      <w:r w:rsidRPr="003131ED">
        <w:rPr>
          <w:rFonts w:eastAsia="Symbol"/>
          <w:sz w:val="22"/>
          <w:szCs w:val="22"/>
        </w:rPr>
        <w:sym w:font="Symbol" w:char="F061"/>
      </w:r>
      <w:r w:rsidRPr="003131ED">
        <w:rPr>
          <w:rFonts w:eastAsia="Arial"/>
          <w:color w:val="000000"/>
          <w:sz w:val="22"/>
          <w:szCs w:val="22"/>
        </w:rPr>
        <w:t xml:space="preserve">-synuclein level in SH-SY5Y cells expressing H63D </w:t>
      </w:r>
      <w:r w:rsidRPr="003131ED">
        <w:rPr>
          <w:rFonts w:eastAsia="Arial"/>
          <w:i/>
          <w:color w:val="000000"/>
          <w:sz w:val="22"/>
          <w:szCs w:val="22"/>
        </w:rPr>
        <w:t>HFE</w:t>
      </w:r>
      <w:r w:rsidRPr="003131ED">
        <w:rPr>
          <w:rFonts w:eastAsia="Arial"/>
          <w:color w:val="000000"/>
          <w:sz w:val="22"/>
          <w:szCs w:val="22"/>
        </w:rPr>
        <w:t xml:space="preserve"> compared to WT </w:t>
      </w:r>
      <w:r w:rsidRPr="003131ED">
        <w:rPr>
          <w:rFonts w:eastAsia="Arial"/>
          <w:i/>
          <w:color w:val="000000"/>
          <w:sz w:val="22"/>
          <w:szCs w:val="22"/>
        </w:rPr>
        <w:t>HFE</w:t>
      </w:r>
      <w:r w:rsidRPr="003131ED">
        <w:rPr>
          <w:rFonts w:eastAsia="Arial"/>
          <w:color w:val="000000"/>
          <w:sz w:val="22"/>
          <w:szCs w:val="22"/>
        </w:rPr>
        <w:t xml:space="preserve"> expressing cells. Quantification is shown on the right. n = 3 </w:t>
      </w:r>
      <w:r w:rsidR="00171EE4" w:rsidRPr="003131ED">
        <w:rPr>
          <w:rFonts w:eastAsia="Arial"/>
          <w:color w:val="000000"/>
          <w:sz w:val="22"/>
          <w:szCs w:val="22"/>
        </w:rPr>
        <w:t xml:space="preserve">independent cell culture preparations, * p &lt; 0.05, Student’s t-test </w:t>
      </w:r>
      <w:r w:rsidRPr="003131ED">
        <w:rPr>
          <w:rFonts w:eastAsia="Arial"/>
          <w:color w:val="000000"/>
          <w:sz w:val="22"/>
          <w:szCs w:val="22"/>
        </w:rPr>
        <w:t xml:space="preserve">(D) ELISA was performed to quantify </w:t>
      </w:r>
      <w:r w:rsidRPr="003131ED">
        <w:rPr>
          <w:rFonts w:eastAsia="Arial"/>
          <w:color w:val="000000"/>
          <w:sz w:val="22"/>
          <w:szCs w:val="22"/>
        </w:rPr>
        <w:sym w:font="Symbol" w:char="F061"/>
      </w:r>
      <w:r w:rsidRPr="003131ED">
        <w:rPr>
          <w:rFonts w:eastAsia="Arial"/>
          <w:color w:val="000000"/>
          <w:sz w:val="22"/>
          <w:szCs w:val="22"/>
        </w:rPr>
        <w:t>-synuclein content (ng/mL) normalized to total protein. n = 4</w:t>
      </w:r>
      <w:r w:rsidR="00171EE4" w:rsidRPr="003131ED">
        <w:rPr>
          <w:rFonts w:eastAsia="Arial"/>
          <w:color w:val="000000"/>
          <w:sz w:val="22"/>
          <w:szCs w:val="22"/>
        </w:rPr>
        <w:t xml:space="preserve"> independent cell culture preparations (3 technical replicates per data point)</w:t>
      </w:r>
      <w:r w:rsidRPr="003131ED">
        <w:rPr>
          <w:rFonts w:eastAsia="Arial"/>
          <w:color w:val="000000"/>
          <w:sz w:val="22"/>
          <w:szCs w:val="22"/>
        </w:rPr>
        <w:t>, * p &lt; 0.05, Student’s t-test</w:t>
      </w:r>
    </w:p>
    <w:p w14:paraId="5FD7E34B" w14:textId="77777777" w:rsidR="00B62B0A" w:rsidRPr="003131ED" w:rsidRDefault="00B62B0A" w:rsidP="00B62B0A">
      <w:pPr>
        <w:spacing w:line="360" w:lineRule="auto"/>
        <w:jc w:val="both"/>
        <w:rPr>
          <w:sz w:val="22"/>
          <w:szCs w:val="22"/>
        </w:rPr>
      </w:pPr>
    </w:p>
    <w:p w14:paraId="76612080" w14:textId="25B6D87D" w:rsidR="00B62B0A" w:rsidRPr="003131ED" w:rsidRDefault="00B62B0A" w:rsidP="00B62B0A">
      <w:pPr>
        <w:spacing w:line="360" w:lineRule="auto"/>
        <w:jc w:val="both"/>
        <w:textDirection w:val="btLr"/>
        <w:rPr>
          <w:sz w:val="22"/>
          <w:szCs w:val="22"/>
        </w:rPr>
      </w:pPr>
      <w:r w:rsidRPr="003131ED">
        <w:rPr>
          <w:rFonts w:eastAsia="Arial"/>
          <w:b/>
          <w:color w:val="000000"/>
          <w:sz w:val="22"/>
          <w:szCs w:val="22"/>
        </w:rPr>
        <w:t xml:space="preserve">Fig. </w:t>
      </w:r>
      <w:r w:rsidR="00BC11AA" w:rsidRPr="003131ED">
        <w:rPr>
          <w:rFonts w:eastAsia="Arial"/>
          <w:b/>
          <w:color w:val="000000"/>
          <w:sz w:val="22"/>
          <w:szCs w:val="22"/>
        </w:rPr>
        <w:t>3</w:t>
      </w:r>
      <w:r w:rsidRPr="003131ED">
        <w:rPr>
          <w:rFonts w:eastAsia="Arial"/>
          <w:b/>
          <w:color w:val="000000"/>
          <w:sz w:val="22"/>
          <w:szCs w:val="22"/>
        </w:rPr>
        <w:t xml:space="preserve">. </w:t>
      </w:r>
      <w:r w:rsidRPr="003131ED">
        <w:rPr>
          <w:rFonts w:eastAsia="Symbol"/>
          <w:b/>
          <w:sz w:val="22"/>
          <w:szCs w:val="22"/>
        </w:rPr>
        <w:sym w:font="Symbol" w:char="F061"/>
      </w:r>
      <w:r w:rsidRPr="003131ED">
        <w:rPr>
          <w:rFonts w:eastAsia="Arial"/>
          <w:b/>
          <w:color w:val="000000"/>
          <w:sz w:val="22"/>
          <w:szCs w:val="22"/>
        </w:rPr>
        <w:t xml:space="preserve">-Synuclein aggregation is decreased in H63D </w:t>
      </w:r>
      <w:r w:rsidRPr="003131ED">
        <w:rPr>
          <w:rFonts w:eastAsia="Arial"/>
          <w:b/>
          <w:i/>
          <w:color w:val="000000"/>
          <w:sz w:val="22"/>
          <w:szCs w:val="22"/>
        </w:rPr>
        <w:t>HFE</w:t>
      </w:r>
      <w:r w:rsidRPr="003131ED">
        <w:rPr>
          <w:rFonts w:eastAsia="Arial"/>
          <w:b/>
          <w:color w:val="000000"/>
          <w:sz w:val="22"/>
          <w:szCs w:val="22"/>
        </w:rPr>
        <w:t xml:space="preserve"> cells after PFF treatment. </w:t>
      </w:r>
      <w:r w:rsidRPr="003131ED">
        <w:rPr>
          <w:rFonts w:eastAsia="Arial"/>
          <w:color w:val="000000"/>
          <w:sz w:val="22"/>
          <w:szCs w:val="22"/>
        </w:rPr>
        <w:t xml:space="preserve">(A) Representative images showing Thioflavin S, </w:t>
      </w:r>
      <w:r w:rsidRPr="003131ED">
        <w:rPr>
          <w:rFonts w:eastAsia="Arial"/>
          <w:color w:val="000000"/>
          <w:sz w:val="22"/>
          <w:szCs w:val="22"/>
        </w:rPr>
        <w:sym w:font="Symbol" w:char="F061"/>
      </w:r>
      <w:r w:rsidRPr="003131ED">
        <w:rPr>
          <w:rFonts w:eastAsia="Arial"/>
          <w:color w:val="000000"/>
          <w:sz w:val="22"/>
          <w:szCs w:val="22"/>
        </w:rPr>
        <w:t xml:space="preserve">-synuclein, and DAPI fluorescence staining on WT and H63D </w:t>
      </w:r>
      <w:r w:rsidRPr="003131ED">
        <w:rPr>
          <w:rFonts w:eastAsia="Arial"/>
          <w:i/>
          <w:color w:val="000000"/>
          <w:sz w:val="22"/>
          <w:szCs w:val="22"/>
        </w:rPr>
        <w:t>HFE</w:t>
      </w:r>
      <w:r w:rsidRPr="003131ED">
        <w:rPr>
          <w:rFonts w:eastAsia="Arial"/>
          <w:color w:val="000000"/>
          <w:sz w:val="22"/>
          <w:szCs w:val="22"/>
        </w:rPr>
        <w:t xml:space="preserve"> cells after 7 days of 1.5uM </w:t>
      </w:r>
      <w:r w:rsidRPr="003131ED">
        <w:rPr>
          <w:rFonts w:eastAsia="Symbol"/>
          <w:sz w:val="22"/>
          <w:szCs w:val="22"/>
        </w:rPr>
        <w:sym w:font="Symbol" w:char="F061"/>
      </w:r>
      <w:r w:rsidRPr="003131ED">
        <w:rPr>
          <w:rFonts w:eastAsia="Arial"/>
          <w:color w:val="000000"/>
          <w:sz w:val="22"/>
          <w:szCs w:val="22"/>
        </w:rPr>
        <w:t xml:space="preserve">-synuclein monomer or PFF treatment. (B) Fold change in </w:t>
      </w:r>
      <w:r w:rsidRPr="003131ED">
        <w:rPr>
          <w:rFonts w:eastAsia="Symbol"/>
          <w:sz w:val="22"/>
          <w:szCs w:val="22"/>
        </w:rPr>
        <w:sym w:font="Symbol" w:char="F061"/>
      </w:r>
      <w:r w:rsidRPr="003131ED">
        <w:rPr>
          <w:rFonts w:eastAsia="Arial"/>
          <w:color w:val="000000"/>
          <w:sz w:val="22"/>
          <w:szCs w:val="22"/>
        </w:rPr>
        <w:t xml:space="preserve">-synuclein and ThS Corrected Total Fluorescence </w:t>
      </w:r>
      <w:r w:rsidR="00763ED9" w:rsidRPr="003131ED">
        <w:rPr>
          <w:rFonts w:eastAsia="Arial"/>
          <w:color w:val="000000"/>
          <w:sz w:val="22"/>
          <w:szCs w:val="22"/>
        </w:rPr>
        <w:t xml:space="preserve">(CTF) </w:t>
      </w:r>
      <w:r w:rsidRPr="003131ED">
        <w:rPr>
          <w:rFonts w:eastAsia="Arial"/>
          <w:color w:val="000000"/>
          <w:sz w:val="22"/>
          <w:szCs w:val="22"/>
        </w:rPr>
        <w:t xml:space="preserve">with PFF treatment compared to control is shown. CTF was calculated from 3 independent </w:t>
      </w:r>
      <w:r w:rsidR="002A542A" w:rsidRPr="003131ED">
        <w:rPr>
          <w:rFonts w:eastAsia="Arial"/>
          <w:color w:val="000000"/>
          <w:sz w:val="22"/>
          <w:szCs w:val="22"/>
        </w:rPr>
        <w:t>cell culture preparations</w:t>
      </w:r>
      <w:r w:rsidRPr="003131ED">
        <w:rPr>
          <w:rFonts w:eastAsia="Arial"/>
          <w:color w:val="000000"/>
          <w:sz w:val="22"/>
          <w:szCs w:val="22"/>
        </w:rPr>
        <w:t xml:space="preserve"> with at least 4 images taken per slide</w:t>
      </w:r>
      <w:r w:rsidR="00C77C8D" w:rsidRPr="003131ED">
        <w:rPr>
          <w:rFonts w:eastAsia="Arial"/>
          <w:color w:val="000000"/>
          <w:sz w:val="22"/>
          <w:szCs w:val="22"/>
        </w:rPr>
        <w:t>.</w:t>
      </w:r>
      <w:r w:rsidRPr="003131ED">
        <w:rPr>
          <w:rFonts w:eastAsia="Arial"/>
          <w:color w:val="000000"/>
          <w:sz w:val="22"/>
          <w:szCs w:val="22"/>
        </w:rPr>
        <w:t xml:space="preserve"> * p &lt; 0.05, ** p &lt; 0.01, Student’s t-test (C) Thioflavin T fluorescence was measured from cell culture media collected at 3, 5, 7 days post 1.5uM PFF treatment. n = 3</w:t>
      </w:r>
      <w:r w:rsidR="003F063A" w:rsidRPr="003131ED">
        <w:rPr>
          <w:rFonts w:eastAsia="Arial"/>
          <w:color w:val="000000"/>
          <w:sz w:val="22"/>
          <w:szCs w:val="22"/>
        </w:rPr>
        <w:t xml:space="preserve"> independent cell culture preparations (3 technical replicates per data point)</w:t>
      </w:r>
      <w:r w:rsidRPr="003131ED">
        <w:rPr>
          <w:rFonts w:eastAsia="Arial"/>
          <w:color w:val="000000"/>
          <w:sz w:val="22"/>
          <w:szCs w:val="22"/>
        </w:rPr>
        <w:t xml:space="preserve">, ** p &lt; 0.01, ANOVA with </w:t>
      </w:r>
      <w:proofErr w:type="spellStart"/>
      <w:r w:rsidRPr="003131ED">
        <w:rPr>
          <w:rFonts w:eastAsia="Arial"/>
          <w:color w:val="000000"/>
          <w:sz w:val="22"/>
          <w:szCs w:val="22"/>
        </w:rPr>
        <w:t>Sidak’s</w:t>
      </w:r>
      <w:proofErr w:type="spellEnd"/>
      <w:r w:rsidRPr="003131ED">
        <w:rPr>
          <w:rFonts w:eastAsia="Arial"/>
          <w:color w:val="000000"/>
          <w:sz w:val="22"/>
          <w:szCs w:val="22"/>
        </w:rPr>
        <w:t xml:space="preserve"> test for multiple comparisons. (D)  Representative western blots showing </w:t>
      </w:r>
      <w:r w:rsidRPr="003131ED">
        <w:rPr>
          <w:rFonts w:eastAsia="Symbol"/>
          <w:sz w:val="22"/>
          <w:szCs w:val="22"/>
        </w:rPr>
        <w:sym w:font="Symbol" w:char="F061"/>
      </w:r>
      <w:r w:rsidRPr="003131ED">
        <w:rPr>
          <w:rFonts w:eastAsia="Arial"/>
          <w:color w:val="000000"/>
          <w:sz w:val="22"/>
          <w:szCs w:val="22"/>
        </w:rPr>
        <w:t>-synuclein aggregation at 3, 5, and 7 days post 1.5uM PFF treatment. Quantification is shown at right. n = 3</w:t>
      </w:r>
      <w:r w:rsidR="003F063A" w:rsidRPr="003131ED">
        <w:rPr>
          <w:rFonts w:eastAsia="Arial"/>
          <w:color w:val="000000"/>
          <w:sz w:val="22"/>
          <w:szCs w:val="22"/>
        </w:rPr>
        <w:t xml:space="preserve"> independent cell culture preparations</w:t>
      </w:r>
      <w:r w:rsidRPr="003131ED">
        <w:rPr>
          <w:rFonts w:eastAsia="Arial"/>
          <w:color w:val="000000"/>
          <w:sz w:val="22"/>
          <w:szCs w:val="22"/>
        </w:rPr>
        <w:t xml:space="preserve">, * p &lt; 0.05, ** p &lt; 0.01, ANOVA with </w:t>
      </w:r>
      <w:proofErr w:type="spellStart"/>
      <w:r w:rsidRPr="003131ED">
        <w:rPr>
          <w:rFonts w:eastAsia="Arial"/>
          <w:color w:val="000000"/>
          <w:sz w:val="22"/>
          <w:szCs w:val="22"/>
        </w:rPr>
        <w:t>Sidak’s</w:t>
      </w:r>
      <w:proofErr w:type="spellEnd"/>
      <w:r w:rsidRPr="003131ED">
        <w:rPr>
          <w:rFonts w:eastAsia="Arial"/>
          <w:color w:val="000000"/>
          <w:sz w:val="22"/>
          <w:szCs w:val="22"/>
        </w:rPr>
        <w:t xml:space="preserve"> test for multiple comparisons.</w:t>
      </w:r>
    </w:p>
    <w:p w14:paraId="6FDD707A" w14:textId="77777777" w:rsidR="00B62B0A" w:rsidRPr="003131ED" w:rsidRDefault="00B62B0A" w:rsidP="00B62B0A">
      <w:pPr>
        <w:spacing w:line="360" w:lineRule="auto"/>
        <w:jc w:val="both"/>
        <w:rPr>
          <w:sz w:val="22"/>
          <w:szCs w:val="22"/>
        </w:rPr>
      </w:pPr>
    </w:p>
    <w:p w14:paraId="49A71116" w14:textId="026CCBB0" w:rsidR="00B62B0A" w:rsidRPr="003131ED" w:rsidRDefault="00B62B0A" w:rsidP="00B62B0A">
      <w:pPr>
        <w:spacing w:line="360" w:lineRule="auto"/>
        <w:jc w:val="both"/>
        <w:textDirection w:val="btLr"/>
        <w:rPr>
          <w:sz w:val="22"/>
          <w:szCs w:val="22"/>
        </w:rPr>
      </w:pPr>
      <w:r w:rsidRPr="003131ED">
        <w:rPr>
          <w:rFonts w:eastAsia="Arial"/>
          <w:b/>
          <w:color w:val="000000"/>
          <w:sz w:val="22"/>
          <w:szCs w:val="22"/>
        </w:rPr>
        <w:lastRenderedPageBreak/>
        <w:t xml:space="preserve">Fig. </w:t>
      </w:r>
      <w:r w:rsidR="00BC11AA" w:rsidRPr="003131ED">
        <w:rPr>
          <w:rFonts w:eastAsia="Arial"/>
          <w:b/>
          <w:color w:val="000000"/>
          <w:sz w:val="22"/>
          <w:szCs w:val="22"/>
        </w:rPr>
        <w:t>4</w:t>
      </w:r>
      <w:r w:rsidRPr="003131ED">
        <w:rPr>
          <w:rFonts w:eastAsia="Arial"/>
          <w:color w:val="000000"/>
          <w:sz w:val="22"/>
          <w:szCs w:val="22"/>
        </w:rPr>
        <w:t xml:space="preserve">. </w:t>
      </w:r>
      <w:r w:rsidRPr="003131ED">
        <w:rPr>
          <w:rFonts w:eastAsia="Arial"/>
          <w:b/>
          <w:color w:val="000000"/>
          <w:sz w:val="22"/>
          <w:szCs w:val="22"/>
        </w:rPr>
        <w:t xml:space="preserve">H63D </w:t>
      </w:r>
      <w:r w:rsidRPr="003131ED">
        <w:rPr>
          <w:rFonts w:eastAsia="Arial"/>
          <w:b/>
          <w:i/>
          <w:color w:val="000000"/>
          <w:sz w:val="22"/>
          <w:szCs w:val="22"/>
        </w:rPr>
        <w:t>HFE</w:t>
      </w:r>
      <w:r w:rsidRPr="003131ED">
        <w:rPr>
          <w:rFonts w:eastAsia="Arial"/>
          <w:b/>
          <w:color w:val="000000"/>
          <w:sz w:val="22"/>
          <w:szCs w:val="22"/>
        </w:rPr>
        <w:t xml:space="preserve"> cells are protected from PFF mediated toxicity.</w:t>
      </w:r>
      <w:r w:rsidRPr="003131ED">
        <w:rPr>
          <w:rFonts w:eastAsia="Arial"/>
          <w:color w:val="000000"/>
          <w:sz w:val="22"/>
          <w:szCs w:val="22"/>
        </w:rPr>
        <w:t xml:space="preserve"> (A) Cell viability was measured using CellTiter-glo and normalized to PBS treated control. Cells were treated with 1.5uM </w:t>
      </w:r>
      <w:r w:rsidRPr="003131ED">
        <w:rPr>
          <w:rFonts w:eastAsia="Arial"/>
          <w:color w:val="000000"/>
          <w:sz w:val="22"/>
          <w:szCs w:val="22"/>
        </w:rPr>
        <w:sym w:font="Symbol" w:char="F061"/>
      </w:r>
      <w:r w:rsidRPr="003131ED">
        <w:rPr>
          <w:rFonts w:eastAsia="Arial"/>
          <w:color w:val="000000"/>
          <w:sz w:val="22"/>
          <w:szCs w:val="22"/>
        </w:rPr>
        <w:t>-Syn monomer, 3.5uM PFF, or combination of 1.5uM monomer and increasing PFF concentrations for 7 days. n = 4</w:t>
      </w:r>
      <w:r w:rsidR="003F063A" w:rsidRPr="003131ED">
        <w:rPr>
          <w:rFonts w:eastAsia="Arial"/>
          <w:color w:val="000000"/>
          <w:sz w:val="22"/>
          <w:szCs w:val="22"/>
        </w:rPr>
        <w:t xml:space="preserve"> independent cell culture preparations (2 technical replicates per data point)</w:t>
      </w:r>
      <w:r w:rsidRPr="003131ED">
        <w:rPr>
          <w:rFonts w:eastAsia="Arial"/>
          <w:color w:val="000000"/>
          <w:sz w:val="22"/>
          <w:szCs w:val="22"/>
        </w:rPr>
        <w:t xml:space="preserve">, * p &lt; 0.05, ** p &lt; 0.01, ANOVA with </w:t>
      </w:r>
      <w:proofErr w:type="spellStart"/>
      <w:r w:rsidRPr="003131ED">
        <w:rPr>
          <w:rFonts w:eastAsia="Arial"/>
          <w:color w:val="000000"/>
          <w:sz w:val="22"/>
          <w:szCs w:val="22"/>
        </w:rPr>
        <w:t>Sidak’s</w:t>
      </w:r>
      <w:proofErr w:type="spellEnd"/>
      <w:r w:rsidRPr="003131ED">
        <w:rPr>
          <w:rFonts w:eastAsia="Arial"/>
          <w:color w:val="000000"/>
          <w:sz w:val="22"/>
          <w:szCs w:val="22"/>
        </w:rPr>
        <w:t xml:space="preserve"> test for multiple comparisons. (B) H63D </w:t>
      </w:r>
      <w:r w:rsidRPr="003131ED">
        <w:rPr>
          <w:rFonts w:eastAsia="Arial"/>
          <w:i/>
          <w:color w:val="000000"/>
          <w:sz w:val="22"/>
          <w:szCs w:val="22"/>
        </w:rPr>
        <w:t>HFE</w:t>
      </w:r>
      <w:r w:rsidRPr="003131ED">
        <w:rPr>
          <w:rFonts w:eastAsia="Arial"/>
          <w:color w:val="000000"/>
          <w:sz w:val="22"/>
          <w:szCs w:val="22"/>
        </w:rPr>
        <w:t xml:space="preserve"> cells had decreased induction of caspase 3/7 activity after 7-day 5uM PFF + 1.5uM monomer co-treatment. Caspase activity was measured with Caspase-glo and PFF/monomer fold change was calculated. n = </w:t>
      </w:r>
      <w:r w:rsidR="003F063A" w:rsidRPr="003131ED">
        <w:rPr>
          <w:rFonts w:eastAsia="Arial"/>
          <w:color w:val="000000"/>
          <w:sz w:val="22"/>
          <w:szCs w:val="22"/>
        </w:rPr>
        <w:t>4 independent cell culture preparations (3 technical replicates per data point)</w:t>
      </w:r>
      <w:r w:rsidRPr="003131ED">
        <w:rPr>
          <w:rFonts w:eastAsia="Arial"/>
          <w:color w:val="000000"/>
          <w:sz w:val="22"/>
          <w:szCs w:val="22"/>
        </w:rPr>
        <w:t xml:space="preserve">, ** p &lt; 0.01, Student’s t-test (C) Cells were treated with 5uM PFF + 1.5uM monomer for 7 days then stained with Annexin V-FITC and 7-AAD to assess for apoptosis. Representative flow cytometry output is shown. Fold change in % Annexin V positive cells with PFF treatment was quantified from </w:t>
      </w:r>
      <w:r w:rsidR="003F063A" w:rsidRPr="003131ED">
        <w:rPr>
          <w:rFonts w:eastAsia="Arial"/>
          <w:color w:val="000000"/>
          <w:sz w:val="22"/>
          <w:szCs w:val="22"/>
        </w:rPr>
        <w:t>5</w:t>
      </w:r>
      <w:r w:rsidRPr="003131ED">
        <w:rPr>
          <w:rFonts w:eastAsia="Arial"/>
          <w:color w:val="000000"/>
          <w:sz w:val="22"/>
          <w:szCs w:val="22"/>
        </w:rPr>
        <w:t xml:space="preserve"> independent </w:t>
      </w:r>
      <w:r w:rsidR="003F063A" w:rsidRPr="003131ED">
        <w:rPr>
          <w:rFonts w:eastAsia="Arial"/>
          <w:color w:val="000000"/>
          <w:sz w:val="22"/>
          <w:szCs w:val="22"/>
        </w:rPr>
        <w:t>cell culture preparations</w:t>
      </w:r>
      <w:r w:rsidRPr="003131ED">
        <w:rPr>
          <w:rFonts w:eastAsia="Arial"/>
          <w:color w:val="000000"/>
          <w:sz w:val="22"/>
          <w:szCs w:val="22"/>
        </w:rPr>
        <w:t>.  *** p &lt; 0.001, Student’s t-test.</w:t>
      </w:r>
    </w:p>
    <w:p w14:paraId="25D724AF" w14:textId="77777777" w:rsidR="00B62B0A" w:rsidRPr="003131ED" w:rsidRDefault="00B62B0A" w:rsidP="00B62B0A">
      <w:pPr>
        <w:spacing w:line="360" w:lineRule="auto"/>
        <w:jc w:val="both"/>
        <w:rPr>
          <w:sz w:val="22"/>
          <w:szCs w:val="22"/>
        </w:rPr>
      </w:pPr>
    </w:p>
    <w:p w14:paraId="7AC4743E" w14:textId="1F6B3E99" w:rsidR="00B62B0A" w:rsidRPr="003131ED" w:rsidRDefault="00B62B0A" w:rsidP="00B62B0A">
      <w:pPr>
        <w:spacing w:line="360" w:lineRule="auto"/>
        <w:jc w:val="both"/>
        <w:textDirection w:val="btLr"/>
        <w:rPr>
          <w:sz w:val="22"/>
          <w:szCs w:val="22"/>
        </w:rPr>
      </w:pPr>
      <w:r w:rsidRPr="003131ED">
        <w:rPr>
          <w:rFonts w:eastAsia="Arial"/>
          <w:b/>
          <w:color w:val="000000"/>
          <w:sz w:val="22"/>
          <w:szCs w:val="22"/>
        </w:rPr>
        <w:t xml:space="preserve">Fig. </w:t>
      </w:r>
      <w:r w:rsidR="00BC11AA" w:rsidRPr="003131ED">
        <w:rPr>
          <w:rFonts w:eastAsia="Arial"/>
          <w:b/>
          <w:color w:val="000000"/>
          <w:sz w:val="22"/>
          <w:szCs w:val="22"/>
        </w:rPr>
        <w:t>5</w:t>
      </w:r>
      <w:r w:rsidRPr="003131ED">
        <w:rPr>
          <w:rFonts w:eastAsia="Arial"/>
          <w:color w:val="000000"/>
          <w:sz w:val="22"/>
          <w:szCs w:val="22"/>
        </w:rPr>
        <w:t xml:space="preserve">. </w:t>
      </w:r>
      <w:r w:rsidRPr="003131ED">
        <w:rPr>
          <w:rFonts w:eastAsia="Arial"/>
          <w:b/>
          <w:color w:val="000000"/>
          <w:sz w:val="22"/>
          <w:szCs w:val="22"/>
        </w:rPr>
        <w:t xml:space="preserve">Baseline autophagic flux is increased in H63D </w:t>
      </w:r>
      <w:r w:rsidRPr="003131ED">
        <w:rPr>
          <w:rFonts w:eastAsia="Arial"/>
          <w:b/>
          <w:i/>
          <w:color w:val="000000"/>
          <w:sz w:val="22"/>
          <w:szCs w:val="22"/>
        </w:rPr>
        <w:t>HFE</w:t>
      </w:r>
      <w:r w:rsidRPr="003131ED">
        <w:rPr>
          <w:rFonts w:eastAsia="Arial"/>
          <w:b/>
          <w:color w:val="000000"/>
          <w:sz w:val="22"/>
          <w:szCs w:val="22"/>
        </w:rPr>
        <w:t xml:space="preserve"> cells.</w:t>
      </w:r>
      <w:r w:rsidRPr="003131ED">
        <w:rPr>
          <w:rFonts w:eastAsia="Arial"/>
          <w:color w:val="000000"/>
          <w:sz w:val="22"/>
          <w:szCs w:val="22"/>
        </w:rPr>
        <w:t xml:space="preserve"> (A) Representative LC3 western blot with 4hr 100nM bafilomycin A1 or DMSO treatment. Autophagic flux is calculated as the difference in LC3-II band intensity between DMSO and BafA1 treatment group normalized to β-actin. n = 6</w:t>
      </w:r>
      <w:r w:rsidR="0020099F" w:rsidRPr="003131ED">
        <w:rPr>
          <w:rFonts w:eastAsia="Arial"/>
          <w:color w:val="000000"/>
          <w:sz w:val="22"/>
          <w:szCs w:val="22"/>
        </w:rPr>
        <w:t xml:space="preserve"> independent cell culture preparations</w:t>
      </w:r>
      <w:r w:rsidRPr="003131ED">
        <w:rPr>
          <w:rFonts w:eastAsia="Arial"/>
          <w:color w:val="000000"/>
          <w:sz w:val="22"/>
          <w:szCs w:val="22"/>
        </w:rPr>
        <w:t>, ** p &lt; 0.01, Student’s t-test. (B) Cells were treated with 50uM chloroquine or PBS for 2.5 hrs and lysed for western blot. Representative blot shows larger increase in LC3-II band intensity with CQ treatment. n = 3</w:t>
      </w:r>
      <w:r w:rsidR="0020099F" w:rsidRPr="003131ED">
        <w:rPr>
          <w:rFonts w:eastAsia="Arial"/>
          <w:color w:val="000000"/>
          <w:sz w:val="22"/>
          <w:szCs w:val="22"/>
        </w:rPr>
        <w:t xml:space="preserve"> independent cell culture preparations</w:t>
      </w:r>
      <w:r w:rsidRPr="003131ED">
        <w:rPr>
          <w:rFonts w:eastAsia="Arial"/>
          <w:color w:val="000000"/>
          <w:sz w:val="22"/>
          <w:szCs w:val="22"/>
        </w:rPr>
        <w:t xml:space="preserve">, * p &lt; 0.05, Student’s t-test. (C) Top panels show increase in LC3 fluorescence signal with BafA1 treatment in WT and H63D </w:t>
      </w:r>
      <w:r w:rsidRPr="003131ED">
        <w:rPr>
          <w:rFonts w:eastAsia="Arial"/>
          <w:i/>
          <w:color w:val="000000"/>
          <w:sz w:val="22"/>
          <w:szCs w:val="22"/>
        </w:rPr>
        <w:t>HFE</w:t>
      </w:r>
      <w:r w:rsidRPr="003131ED">
        <w:rPr>
          <w:rFonts w:eastAsia="Arial"/>
          <w:color w:val="000000"/>
          <w:sz w:val="22"/>
          <w:szCs w:val="22"/>
        </w:rPr>
        <w:t xml:space="preserve"> cells. Bottom panels show LC3 positive puncta formation (arrows) in WT and H63D </w:t>
      </w:r>
      <w:r w:rsidRPr="003131ED">
        <w:rPr>
          <w:rFonts w:eastAsia="Arial"/>
          <w:i/>
          <w:color w:val="000000"/>
          <w:sz w:val="22"/>
          <w:szCs w:val="22"/>
        </w:rPr>
        <w:t>HFE</w:t>
      </w:r>
      <w:r w:rsidRPr="003131ED">
        <w:rPr>
          <w:rFonts w:eastAsia="Arial"/>
          <w:color w:val="000000"/>
          <w:sz w:val="22"/>
          <w:szCs w:val="22"/>
        </w:rPr>
        <w:t xml:space="preserve"> cells with BafA1 treatment. Fold change in number of LC3 positive puncta per cell after BafA1 treatment was calculated. n=3</w:t>
      </w:r>
      <w:r w:rsidR="00D42B3A" w:rsidRPr="003131ED">
        <w:rPr>
          <w:rFonts w:eastAsia="Arial"/>
          <w:color w:val="000000"/>
          <w:sz w:val="22"/>
          <w:szCs w:val="22"/>
        </w:rPr>
        <w:t xml:space="preserve"> independent cell culture preparations (100 cells counted per slide)</w:t>
      </w:r>
      <w:r w:rsidRPr="003131ED">
        <w:rPr>
          <w:rFonts w:eastAsia="Arial"/>
          <w:color w:val="000000"/>
          <w:sz w:val="22"/>
          <w:szCs w:val="22"/>
        </w:rPr>
        <w:t xml:space="preserve">, * p &lt; 0.05, Student’s t-test.     </w:t>
      </w:r>
    </w:p>
    <w:p w14:paraId="2E4A7DAF" w14:textId="77777777" w:rsidR="00B62B0A" w:rsidRPr="003131ED" w:rsidRDefault="00B62B0A" w:rsidP="00B62B0A">
      <w:pPr>
        <w:spacing w:line="360" w:lineRule="auto"/>
        <w:jc w:val="both"/>
        <w:rPr>
          <w:sz w:val="22"/>
          <w:szCs w:val="22"/>
        </w:rPr>
      </w:pPr>
    </w:p>
    <w:p w14:paraId="6CA3BFBE" w14:textId="77777777" w:rsidR="004C750E" w:rsidRPr="003131ED" w:rsidRDefault="00B62B0A" w:rsidP="004C750E">
      <w:pPr>
        <w:spacing w:line="360" w:lineRule="auto"/>
        <w:jc w:val="both"/>
        <w:rPr>
          <w:rFonts w:eastAsia="Arial"/>
          <w:b/>
          <w:sz w:val="22"/>
          <w:szCs w:val="22"/>
        </w:rPr>
      </w:pPr>
      <w:r w:rsidRPr="003131ED">
        <w:rPr>
          <w:rFonts w:eastAsia="Arial"/>
          <w:b/>
          <w:color w:val="000000"/>
          <w:sz w:val="22"/>
          <w:szCs w:val="22"/>
        </w:rPr>
        <w:t xml:space="preserve">Fig. </w:t>
      </w:r>
      <w:r w:rsidR="00BC11AA" w:rsidRPr="003131ED">
        <w:rPr>
          <w:rFonts w:eastAsia="Arial"/>
          <w:b/>
          <w:color w:val="000000"/>
          <w:sz w:val="22"/>
          <w:szCs w:val="22"/>
        </w:rPr>
        <w:t>6</w:t>
      </w:r>
      <w:r w:rsidRPr="003131ED">
        <w:rPr>
          <w:rFonts w:eastAsia="Arial"/>
          <w:color w:val="000000"/>
          <w:sz w:val="22"/>
          <w:szCs w:val="22"/>
        </w:rPr>
        <w:t xml:space="preserve">. </w:t>
      </w:r>
      <w:r w:rsidR="004C750E" w:rsidRPr="003131ED">
        <w:rPr>
          <w:rFonts w:eastAsia="Arial"/>
          <w:b/>
          <w:sz w:val="22"/>
          <w:szCs w:val="22"/>
        </w:rPr>
        <w:t>H63D HFE increases autophagy through REDD1 inhibition of mTORC1</w:t>
      </w:r>
    </w:p>
    <w:p w14:paraId="59193370" w14:textId="4E779F71" w:rsidR="00B62B0A" w:rsidRPr="003131ED" w:rsidRDefault="00B62B0A" w:rsidP="00B62B0A">
      <w:pPr>
        <w:spacing w:line="360" w:lineRule="auto"/>
        <w:jc w:val="both"/>
        <w:textDirection w:val="btLr"/>
        <w:rPr>
          <w:rFonts w:eastAsia="Arial"/>
          <w:color w:val="000000"/>
          <w:sz w:val="22"/>
          <w:szCs w:val="22"/>
        </w:rPr>
      </w:pPr>
      <w:r w:rsidRPr="003131ED">
        <w:rPr>
          <w:rFonts w:eastAsia="Arial"/>
          <w:color w:val="000000"/>
          <w:sz w:val="22"/>
          <w:szCs w:val="22"/>
        </w:rPr>
        <w:t>(A) Cells were co-treated with 200nM Rap and 100nM BafA1 for 4hrs. Representative immunoblot for LC3 is shown. Autophagic flux was calculated from LC3-II and β-actin band intensities. n = 3</w:t>
      </w:r>
      <w:r w:rsidR="00C1355D" w:rsidRPr="003131ED">
        <w:rPr>
          <w:rFonts w:eastAsia="Arial"/>
          <w:color w:val="000000"/>
          <w:sz w:val="22"/>
          <w:szCs w:val="22"/>
        </w:rPr>
        <w:t xml:space="preserve"> independent cell culture preparations</w:t>
      </w:r>
      <w:r w:rsidRPr="003131ED">
        <w:rPr>
          <w:rFonts w:eastAsia="Arial"/>
          <w:color w:val="000000"/>
          <w:sz w:val="22"/>
          <w:szCs w:val="22"/>
        </w:rPr>
        <w:t xml:space="preserve">, * p &lt; 0.05, Student’s t-test. (B) </w:t>
      </w:r>
      <w:r w:rsidR="001D0BBC" w:rsidRPr="003131ED">
        <w:rPr>
          <w:rFonts w:eastAsia="Arial"/>
          <w:color w:val="000000"/>
          <w:sz w:val="22"/>
          <w:szCs w:val="22"/>
        </w:rPr>
        <w:t xml:space="preserve">Western blots for ULK1 phosphorylated at Ser757, total ULK1, and β-actin loading control. Quantification was performed and ratio of </w:t>
      </w:r>
      <w:r w:rsidR="00B34F64" w:rsidRPr="003131ED">
        <w:rPr>
          <w:rFonts w:eastAsia="Arial"/>
          <w:color w:val="000000"/>
          <w:sz w:val="22"/>
          <w:szCs w:val="22"/>
        </w:rPr>
        <w:t>p-Ser757-ULK1 to total ULK1 was calculated. n = 3</w:t>
      </w:r>
      <w:r w:rsidR="00C1355D" w:rsidRPr="003131ED">
        <w:rPr>
          <w:rFonts w:eastAsia="Arial"/>
          <w:color w:val="000000"/>
          <w:sz w:val="22"/>
          <w:szCs w:val="22"/>
        </w:rPr>
        <w:t xml:space="preserve"> independent cell culture preparations</w:t>
      </w:r>
      <w:r w:rsidR="00B34F64" w:rsidRPr="003131ED">
        <w:rPr>
          <w:rFonts w:eastAsia="Arial"/>
          <w:color w:val="000000"/>
          <w:sz w:val="22"/>
          <w:szCs w:val="22"/>
        </w:rPr>
        <w:t>, * p &lt;0.05</w:t>
      </w:r>
      <w:r w:rsidR="002E6368" w:rsidRPr="003131ED">
        <w:rPr>
          <w:rFonts w:eastAsia="Arial"/>
          <w:color w:val="000000"/>
          <w:sz w:val="22"/>
          <w:szCs w:val="22"/>
        </w:rPr>
        <w:t xml:space="preserve">, Student’s t-test. </w:t>
      </w:r>
      <w:r w:rsidR="001D0BBC" w:rsidRPr="003131ED">
        <w:rPr>
          <w:rFonts w:eastAsia="Arial"/>
          <w:color w:val="000000"/>
          <w:sz w:val="22"/>
          <w:szCs w:val="22"/>
        </w:rPr>
        <w:t xml:space="preserve">(C) </w:t>
      </w:r>
      <w:r w:rsidRPr="003131ED">
        <w:rPr>
          <w:rFonts w:eastAsia="Arial"/>
          <w:color w:val="000000"/>
          <w:sz w:val="22"/>
          <w:szCs w:val="22"/>
        </w:rPr>
        <w:t xml:space="preserve">Representative blot of REDD1 from WT and H63D </w:t>
      </w:r>
      <w:r w:rsidRPr="003131ED">
        <w:rPr>
          <w:rFonts w:eastAsia="Arial"/>
          <w:i/>
          <w:color w:val="000000"/>
          <w:sz w:val="22"/>
          <w:szCs w:val="22"/>
        </w:rPr>
        <w:t>HFE</w:t>
      </w:r>
      <w:r w:rsidRPr="003131ED">
        <w:rPr>
          <w:rFonts w:eastAsia="Arial"/>
          <w:color w:val="000000"/>
          <w:sz w:val="22"/>
          <w:szCs w:val="22"/>
        </w:rPr>
        <w:t xml:space="preserve"> cell lysates. Band density was quantified and normalized to β-actin. n = 3</w:t>
      </w:r>
      <w:r w:rsidR="00C1355D" w:rsidRPr="003131ED">
        <w:rPr>
          <w:rFonts w:eastAsia="Arial"/>
          <w:color w:val="000000"/>
          <w:sz w:val="22"/>
          <w:szCs w:val="22"/>
        </w:rPr>
        <w:t xml:space="preserve"> independent cell culture preparations</w:t>
      </w:r>
      <w:r w:rsidRPr="003131ED">
        <w:rPr>
          <w:rFonts w:eastAsia="Arial"/>
          <w:color w:val="000000"/>
          <w:sz w:val="22"/>
          <w:szCs w:val="22"/>
        </w:rPr>
        <w:t>, * p &lt; 0.05, Student’s t-test.</w:t>
      </w:r>
      <w:r w:rsidR="00C1355D" w:rsidRPr="003131ED">
        <w:rPr>
          <w:rFonts w:eastAsia="Arial"/>
          <w:color w:val="000000"/>
          <w:sz w:val="22"/>
          <w:szCs w:val="22"/>
        </w:rPr>
        <w:t xml:space="preserve"> (D) </w:t>
      </w:r>
      <w:r w:rsidR="00691600" w:rsidRPr="003131ED">
        <w:rPr>
          <w:rFonts w:eastAsia="Arial"/>
          <w:color w:val="000000"/>
          <w:sz w:val="22"/>
          <w:szCs w:val="22"/>
        </w:rPr>
        <w:t xml:space="preserve">siRNA knockdown of </w:t>
      </w:r>
      <w:r w:rsidR="00D66981" w:rsidRPr="003131ED">
        <w:rPr>
          <w:rFonts w:eastAsia="Arial"/>
          <w:color w:val="000000"/>
          <w:sz w:val="22"/>
          <w:szCs w:val="22"/>
        </w:rPr>
        <w:t xml:space="preserve">REDD1 was </w:t>
      </w:r>
      <w:r w:rsidR="00E94998" w:rsidRPr="003131ED">
        <w:rPr>
          <w:rFonts w:eastAsia="Arial"/>
          <w:color w:val="000000"/>
          <w:sz w:val="22"/>
          <w:szCs w:val="22"/>
        </w:rPr>
        <w:t xml:space="preserve">performed with </w:t>
      </w:r>
      <w:proofErr w:type="spellStart"/>
      <w:r w:rsidR="00E94998" w:rsidRPr="003131ED">
        <w:rPr>
          <w:rFonts w:eastAsia="Arial"/>
          <w:color w:val="000000"/>
          <w:sz w:val="22"/>
          <w:szCs w:val="22"/>
        </w:rPr>
        <w:t>siEGFP</w:t>
      </w:r>
      <w:proofErr w:type="spellEnd"/>
      <w:r w:rsidR="00E94998" w:rsidRPr="003131ED">
        <w:rPr>
          <w:rFonts w:eastAsia="Arial"/>
          <w:color w:val="000000"/>
          <w:sz w:val="22"/>
          <w:szCs w:val="22"/>
        </w:rPr>
        <w:t xml:space="preserve"> as </w:t>
      </w:r>
      <w:r w:rsidR="00505C7B" w:rsidRPr="003131ED">
        <w:rPr>
          <w:rFonts w:eastAsia="Arial"/>
          <w:color w:val="000000"/>
          <w:sz w:val="22"/>
          <w:szCs w:val="22"/>
        </w:rPr>
        <w:t xml:space="preserve">the </w:t>
      </w:r>
      <w:r w:rsidR="00E94998" w:rsidRPr="003131ED">
        <w:rPr>
          <w:rFonts w:eastAsia="Arial"/>
          <w:color w:val="000000"/>
          <w:sz w:val="22"/>
          <w:szCs w:val="22"/>
        </w:rPr>
        <w:t xml:space="preserve">control </w:t>
      </w:r>
      <w:r w:rsidR="00505C7B" w:rsidRPr="003131ED">
        <w:rPr>
          <w:rFonts w:eastAsia="Arial"/>
          <w:color w:val="000000"/>
          <w:sz w:val="22"/>
          <w:szCs w:val="22"/>
        </w:rPr>
        <w:t>siRNA. C</w:t>
      </w:r>
      <w:r w:rsidR="00E94998" w:rsidRPr="003131ED">
        <w:rPr>
          <w:rFonts w:eastAsia="Arial"/>
          <w:color w:val="000000"/>
          <w:sz w:val="22"/>
          <w:szCs w:val="22"/>
        </w:rPr>
        <w:t xml:space="preserve">ells were </w:t>
      </w:r>
      <w:r w:rsidR="00505C7B" w:rsidRPr="003131ED">
        <w:rPr>
          <w:rFonts w:eastAsia="Arial"/>
          <w:color w:val="000000"/>
          <w:sz w:val="22"/>
          <w:szCs w:val="22"/>
        </w:rPr>
        <w:t xml:space="preserve">then </w:t>
      </w:r>
      <w:r w:rsidR="00E94998" w:rsidRPr="003131ED">
        <w:rPr>
          <w:rFonts w:eastAsia="Arial"/>
          <w:color w:val="000000"/>
          <w:sz w:val="22"/>
          <w:szCs w:val="22"/>
        </w:rPr>
        <w:t>treated with 100nM BafA1 for 4 hrs.</w:t>
      </w:r>
      <w:r w:rsidR="000B7684" w:rsidRPr="003131ED">
        <w:rPr>
          <w:rFonts w:eastAsia="Arial"/>
          <w:color w:val="000000"/>
          <w:sz w:val="22"/>
          <w:szCs w:val="22"/>
        </w:rPr>
        <w:t xml:space="preserve"> </w:t>
      </w:r>
      <w:r w:rsidR="00CD4729" w:rsidRPr="003131ED">
        <w:rPr>
          <w:rFonts w:eastAsia="Arial"/>
          <w:color w:val="000000"/>
          <w:sz w:val="22"/>
          <w:szCs w:val="22"/>
        </w:rPr>
        <w:t xml:space="preserve">Representative image of LC3, REDD1, and β-actin western blots are shown. </w:t>
      </w:r>
      <w:r w:rsidR="007616BE" w:rsidRPr="003131ED">
        <w:rPr>
          <w:rFonts w:eastAsia="Arial"/>
          <w:color w:val="000000"/>
          <w:sz w:val="22"/>
          <w:szCs w:val="22"/>
        </w:rPr>
        <w:t xml:space="preserve">n = 4 independent </w:t>
      </w:r>
      <w:r w:rsidR="003A509D" w:rsidRPr="003131ED">
        <w:rPr>
          <w:rFonts w:eastAsia="Arial"/>
          <w:color w:val="000000"/>
          <w:sz w:val="22"/>
          <w:szCs w:val="22"/>
        </w:rPr>
        <w:t xml:space="preserve">cell culture preparations, ** p &lt; 0.01, Student’s t-test. (E) After siRNA knockdown (REDD1 or EGFP), cells were treated with </w:t>
      </w:r>
      <w:r w:rsidR="005B3AD3" w:rsidRPr="003131ED">
        <w:rPr>
          <w:rFonts w:eastAsia="Arial"/>
          <w:color w:val="000000"/>
          <w:sz w:val="22"/>
          <w:szCs w:val="22"/>
        </w:rPr>
        <w:t xml:space="preserve">1.5uM </w:t>
      </w:r>
      <w:r w:rsidR="005B3AD3" w:rsidRPr="003131ED">
        <w:rPr>
          <w:rFonts w:eastAsia="Arial"/>
          <w:color w:val="000000"/>
          <w:sz w:val="22"/>
          <w:szCs w:val="22"/>
        </w:rPr>
        <w:sym w:font="Symbol" w:char="F061"/>
      </w:r>
      <w:r w:rsidR="005B3AD3" w:rsidRPr="003131ED">
        <w:rPr>
          <w:rFonts w:eastAsia="Arial"/>
          <w:color w:val="000000"/>
          <w:sz w:val="22"/>
          <w:szCs w:val="22"/>
        </w:rPr>
        <w:t xml:space="preserve">-synuclein monomer </w:t>
      </w:r>
      <w:r w:rsidR="005B3AD3" w:rsidRPr="003131ED">
        <w:rPr>
          <w:rFonts w:eastAsia="Arial"/>
          <w:color w:val="000000"/>
          <w:sz w:val="22"/>
          <w:szCs w:val="22"/>
        </w:rPr>
        <w:lastRenderedPageBreak/>
        <w:t xml:space="preserve">or 1.5uM monomer + 5uM PFF for 5 days. Cell viability was measured using CellTiter-glo. Viability is normalized to </w:t>
      </w:r>
      <w:r w:rsidR="005B3AD3" w:rsidRPr="003131ED">
        <w:rPr>
          <w:rFonts w:eastAsia="Arial"/>
          <w:color w:val="000000"/>
          <w:sz w:val="22"/>
          <w:szCs w:val="22"/>
        </w:rPr>
        <w:sym w:font="Symbol" w:char="F061"/>
      </w:r>
      <w:r w:rsidR="005B3AD3" w:rsidRPr="003131ED">
        <w:rPr>
          <w:rFonts w:eastAsia="Arial"/>
          <w:color w:val="000000"/>
          <w:sz w:val="22"/>
          <w:szCs w:val="22"/>
        </w:rPr>
        <w:t>-synuclein monomer only treated cells. n = 3 independent cell culture preparations (siRNA knockdowns) with 2 technical replicates per data point, ** p &lt; 0.01, Student’s t-test.</w:t>
      </w:r>
    </w:p>
    <w:p w14:paraId="3B0F6818" w14:textId="77777777" w:rsidR="00B62B0A" w:rsidRPr="003131ED" w:rsidRDefault="00B62B0A" w:rsidP="00B62B0A">
      <w:pPr>
        <w:spacing w:line="360" w:lineRule="auto"/>
        <w:jc w:val="both"/>
        <w:rPr>
          <w:sz w:val="22"/>
          <w:szCs w:val="22"/>
        </w:rPr>
      </w:pPr>
    </w:p>
    <w:p w14:paraId="0E46ED8B" w14:textId="060B2E6E" w:rsidR="00B62B0A" w:rsidRPr="003131ED" w:rsidRDefault="00B62B0A" w:rsidP="007A7AC2">
      <w:pPr>
        <w:spacing w:line="360" w:lineRule="auto"/>
        <w:jc w:val="both"/>
        <w:textDirection w:val="btLr"/>
        <w:rPr>
          <w:sz w:val="22"/>
          <w:szCs w:val="22"/>
        </w:rPr>
      </w:pPr>
      <w:r w:rsidRPr="003131ED">
        <w:rPr>
          <w:rFonts w:eastAsia="Arial"/>
          <w:b/>
          <w:color w:val="000000"/>
          <w:sz w:val="22"/>
          <w:szCs w:val="22"/>
        </w:rPr>
        <w:t xml:space="preserve">Fig. </w:t>
      </w:r>
      <w:r w:rsidR="00BC11AA" w:rsidRPr="003131ED">
        <w:rPr>
          <w:rFonts w:eastAsia="Arial"/>
          <w:b/>
          <w:color w:val="000000"/>
          <w:sz w:val="22"/>
          <w:szCs w:val="22"/>
        </w:rPr>
        <w:t>7</w:t>
      </w:r>
      <w:r w:rsidRPr="003131ED">
        <w:rPr>
          <w:rFonts w:eastAsia="Arial"/>
          <w:b/>
          <w:color w:val="000000"/>
          <w:sz w:val="22"/>
          <w:szCs w:val="22"/>
        </w:rPr>
        <w:t>.</w:t>
      </w:r>
      <w:r w:rsidR="00450FCA" w:rsidRPr="003131ED">
        <w:rPr>
          <w:rFonts w:eastAsia="Arial"/>
          <w:b/>
          <w:color w:val="000000"/>
          <w:sz w:val="22"/>
          <w:szCs w:val="22"/>
        </w:rPr>
        <w:t xml:space="preserve"> </w:t>
      </w:r>
      <w:r w:rsidRPr="003131ED">
        <w:rPr>
          <w:rFonts w:eastAsia="Arial"/>
          <w:b/>
          <w:color w:val="000000"/>
          <w:sz w:val="22"/>
          <w:szCs w:val="22"/>
        </w:rPr>
        <w:t>H63D HFE modulates response to DFP treatment.</w:t>
      </w:r>
      <w:r w:rsidRPr="003131ED">
        <w:rPr>
          <w:rFonts w:eastAsia="Arial"/>
          <w:color w:val="000000"/>
          <w:sz w:val="22"/>
          <w:szCs w:val="22"/>
        </w:rPr>
        <w:t xml:space="preserve"> </w:t>
      </w:r>
      <w:r w:rsidR="007A7AC2" w:rsidRPr="003131ED">
        <w:rPr>
          <w:rFonts w:eastAsia="Arial"/>
          <w:color w:val="000000"/>
          <w:sz w:val="22"/>
          <w:szCs w:val="22"/>
        </w:rPr>
        <w:t xml:space="preserve">(A) After 2 days of DFP treatment, cells were treated with 100nM BafA1 or DMSO for 4hrs. Representative LC3 western blots are shown. Autophagic flux was calculated from LC3-II band intensity normalized to </w:t>
      </w:r>
      <w:r w:rsidR="007A7AC2" w:rsidRPr="003131ED">
        <w:rPr>
          <w:rFonts w:eastAsia="Arial"/>
          <w:color w:val="000000"/>
          <w:sz w:val="22"/>
          <w:szCs w:val="22"/>
        </w:rPr>
        <w:sym w:font="Symbol" w:char="F062"/>
      </w:r>
      <w:r w:rsidR="007A7AC2" w:rsidRPr="003131ED">
        <w:rPr>
          <w:rFonts w:eastAsia="Arial"/>
          <w:color w:val="000000"/>
          <w:sz w:val="22"/>
          <w:szCs w:val="22"/>
        </w:rPr>
        <w:t>-actin. n = 3</w:t>
      </w:r>
      <w:r w:rsidR="00E90939" w:rsidRPr="003131ED">
        <w:rPr>
          <w:rFonts w:eastAsia="Arial"/>
          <w:color w:val="000000"/>
          <w:sz w:val="22"/>
          <w:szCs w:val="22"/>
        </w:rPr>
        <w:t xml:space="preserve"> independent cell culture preparations</w:t>
      </w:r>
      <w:r w:rsidR="007A7AC2" w:rsidRPr="003131ED">
        <w:rPr>
          <w:rFonts w:eastAsia="Arial"/>
          <w:color w:val="000000"/>
          <w:sz w:val="22"/>
          <w:szCs w:val="22"/>
        </w:rPr>
        <w:t>, ** p &lt; 0.01, ## p &lt; 0.01, ANOVA with Dunnett’s test for multiple comparisons</w:t>
      </w:r>
      <w:r w:rsidR="007A7AC2" w:rsidRPr="003131ED">
        <w:rPr>
          <w:sz w:val="22"/>
          <w:szCs w:val="22"/>
        </w:rPr>
        <w:t xml:space="preserve"> </w:t>
      </w:r>
      <w:r w:rsidRPr="003131ED">
        <w:rPr>
          <w:rFonts w:eastAsia="Arial"/>
          <w:color w:val="000000"/>
          <w:sz w:val="22"/>
          <w:szCs w:val="22"/>
        </w:rPr>
        <w:t>(</w:t>
      </w:r>
      <w:r w:rsidR="007A7AC2" w:rsidRPr="003131ED">
        <w:rPr>
          <w:rFonts w:eastAsia="Arial"/>
          <w:color w:val="000000"/>
          <w:sz w:val="22"/>
          <w:szCs w:val="22"/>
        </w:rPr>
        <w:t>B</w:t>
      </w:r>
      <w:r w:rsidRPr="003131ED">
        <w:rPr>
          <w:rFonts w:eastAsia="Arial"/>
          <w:color w:val="000000"/>
          <w:sz w:val="22"/>
          <w:szCs w:val="22"/>
        </w:rPr>
        <w:t xml:space="preserve">) WT and H63D </w:t>
      </w:r>
      <w:r w:rsidRPr="003131ED">
        <w:rPr>
          <w:rFonts w:eastAsia="Arial"/>
          <w:i/>
          <w:color w:val="000000"/>
          <w:sz w:val="22"/>
          <w:szCs w:val="22"/>
        </w:rPr>
        <w:t>HFE</w:t>
      </w:r>
      <w:r w:rsidRPr="003131ED">
        <w:rPr>
          <w:rFonts w:eastAsia="Arial"/>
          <w:color w:val="000000"/>
          <w:sz w:val="22"/>
          <w:szCs w:val="22"/>
        </w:rPr>
        <w:t xml:space="preserve"> cells were treated with 1.5uM PFF for 7 days. Deferiprone (0, 1, 10, 30uM) was added for the last two days. Representative western blot from cell lysates is shown. Total </w:t>
      </w:r>
      <w:r w:rsidRPr="003131ED">
        <w:rPr>
          <w:rFonts w:eastAsia="Arial"/>
          <w:color w:val="000000"/>
          <w:sz w:val="22"/>
          <w:szCs w:val="22"/>
        </w:rPr>
        <w:sym w:font="Symbol" w:char="F061"/>
      </w:r>
      <w:r w:rsidRPr="003131ED">
        <w:rPr>
          <w:rFonts w:eastAsia="Arial"/>
          <w:color w:val="000000"/>
          <w:sz w:val="22"/>
          <w:szCs w:val="22"/>
        </w:rPr>
        <w:t xml:space="preserve">-synuclein was quantified and normalized to </w:t>
      </w:r>
      <w:r w:rsidRPr="003131ED">
        <w:rPr>
          <w:rFonts w:eastAsia="Arial"/>
          <w:color w:val="000000"/>
          <w:sz w:val="22"/>
          <w:szCs w:val="22"/>
        </w:rPr>
        <w:sym w:font="Symbol" w:char="F062"/>
      </w:r>
      <w:r w:rsidRPr="003131ED">
        <w:rPr>
          <w:rFonts w:eastAsia="Arial"/>
          <w:color w:val="000000"/>
          <w:sz w:val="22"/>
          <w:szCs w:val="22"/>
        </w:rPr>
        <w:t>-actin. n = 3</w:t>
      </w:r>
      <w:r w:rsidR="00B528C7" w:rsidRPr="003131ED">
        <w:rPr>
          <w:rFonts w:eastAsia="Arial"/>
          <w:color w:val="000000"/>
          <w:sz w:val="22"/>
          <w:szCs w:val="22"/>
        </w:rPr>
        <w:t xml:space="preserve"> independent cell culture preparations</w:t>
      </w:r>
      <w:r w:rsidRPr="003131ED">
        <w:rPr>
          <w:rFonts w:eastAsia="Arial"/>
          <w:color w:val="000000"/>
          <w:sz w:val="22"/>
          <w:szCs w:val="22"/>
        </w:rPr>
        <w:t>, * p &lt; 0.05, ## p &lt; 0.01, ANOVA with Dunnett’s test for multiple comparisons. (</w:t>
      </w:r>
      <w:r w:rsidR="007A7AC2" w:rsidRPr="003131ED">
        <w:rPr>
          <w:rFonts w:eastAsia="Arial"/>
          <w:color w:val="000000"/>
          <w:sz w:val="22"/>
          <w:szCs w:val="22"/>
        </w:rPr>
        <w:t>C</w:t>
      </w:r>
      <w:r w:rsidRPr="003131ED">
        <w:rPr>
          <w:rFonts w:eastAsia="Arial"/>
          <w:color w:val="000000"/>
          <w:sz w:val="22"/>
          <w:szCs w:val="22"/>
        </w:rPr>
        <w:t>) Cell viability was measured using CellTiter-glo after 1.5uM monomer + 5uM PFF and DFP treatment. Values were normalized to DFP only control. n = 4</w:t>
      </w:r>
      <w:r w:rsidR="00B528C7" w:rsidRPr="003131ED">
        <w:rPr>
          <w:rFonts w:eastAsia="Arial"/>
          <w:color w:val="000000"/>
          <w:sz w:val="22"/>
          <w:szCs w:val="22"/>
        </w:rPr>
        <w:t xml:space="preserve"> independent cell culture preparations (2 technical replicates per data point)</w:t>
      </w:r>
      <w:r w:rsidRPr="003131ED">
        <w:rPr>
          <w:rFonts w:eastAsia="Arial"/>
          <w:color w:val="000000"/>
          <w:sz w:val="22"/>
          <w:szCs w:val="22"/>
        </w:rPr>
        <w:t xml:space="preserve">, * p &lt; 0.05, ** p &lt; 0.01, *** p &lt; 0.001, ## p &lt; 0.01, ### p &lt; 0.001, ANOVA with Dunnett’s test for multiple comparisons. </w:t>
      </w:r>
    </w:p>
    <w:p w14:paraId="508EB873" w14:textId="3A164542" w:rsidR="00B62B0A" w:rsidRPr="003131ED" w:rsidRDefault="00B62B0A" w:rsidP="00D0468C">
      <w:pPr>
        <w:spacing w:line="360" w:lineRule="auto"/>
        <w:jc w:val="both"/>
        <w:rPr>
          <w:sz w:val="22"/>
          <w:szCs w:val="22"/>
        </w:rPr>
      </w:pPr>
    </w:p>
    <w:p w14:paraId="385E1F32" w14:textId="43237354" w:rsidR="00F56F86" w:rsidRPr="00862BF3" w:rsidRDefault="000C757B" w:rsidP="00D0468C">
      <w:pPr>
        <w:spacing w:line="360" w:lineRule="auto"/>
        <w:jc w:val="both"/>
        <w:rPr>
          <w:rFonts w:eastAsia="Arial"/>
          <w:sz w:val="22"/>
          <w:szCs w:val="22"/>
        </w:rPr>
      </w:pPr>
      <w:r w:rsidRPr="003131ED">
        <w:rPr>
          <w:b/>
          <w:sz w:val="22"/>
          <w:szCs w:val="22"/>
        </w:rPr>
        <w:t xml:space="preserve">Fig. </w:t>
      </w:r>
      <w:r w:rsidR="00BC11AA" w:rsidRPr="003131ED">
        <w:rPr>
          <w:b/>
          <w:sz w:val="22"/>
          <w:szCs w:val="22"/>
        </w:rPr>
        <w:t>8</w:t>
      </w:r>
      <w:r w:rsidR="00F91160" w:rsidRPr="003131ED">
        <w:rPr>
          <w:b/>
          <w:sz w:val="22"/>
          <w:szCs w:val="22"/>
        </w:rPr>
        <w:t xml:space="preserve"> </w:t>
      </w:r>
      <w:r w:rsidR="00130441" w:rsidRPr="003131ED">
        <w:rPr>
          <w:b/>
          <w:sz w:val="22"/>
          <w:szCs w:val="22"/>
        </w:rPr>
        <w:t xml:space="preserve">H67D </w:t>
      </w:r>
      <w:r w:rsidR="00130441" w:rsidRPr="003131ED">
        <w:rPr>
          <w:b/>
          <w:i/>
          <w:sz w:val="22"/>
          <w:szCs w:val="22"/>
        </w:rPr>
        <w:t>Hfe</w:t>
      </w:r>
      <w:r w:rsidR="00130441" w:rsidRPr="003131ED">
        <w:rPr>
          <w:b/>
          <w:sz w:val="22"/>
          <w:szCs w:val="22"/>
        </w:rPr>
        <w:t xml:space="preserve"> mice are protected from </w:t>
      </w:r>
      <w:r w:rsidR="00D1256D" w:rsidRPr="003131ED">
        <w:rPr>
          <w:b/>
          <w:sz w:val="22"/>
          <w:szCs w:val="22"/>
        </w:rPr>
        <w:t>PFF mediated loss of motor function</w:t>
      </w:r>
      <w:r w:rsidR="00370D94" w:rsidRPr="003131ED">
        <w:rPr>
          <w:b/>
          <w:sz w:val="22"/>
          <w:szCs w:val="22"/>
        </w:rPr>
        <w:t xml:space="preserve"> and </w:t>
      </w:r>
      <w:r w:rsidR="00370D94" w:rsidRPr="003131ED">
        <w:rPr>
          <w:b/>
          <w:sz w:val="22"/>
          <w:szCs w:val="22"/>
        </w:rPr>
        <w:sym w:font="Symbol" w:char="F061"/>
      </w:r>
      <w:r w:rsidR="00370D94" w:rsidRPr="003131ED">
        <w:rPr>
          <w:b/>
          <w:sz w:val="22"/>
          <w:szCs w:val="22"/>
        </w:rPr>
        <w:t>-synuclein aggregation</w:t>
      </w:r>
      <w:r w:rsidR="00D1256D" w:rsidRPr="003131ED">
        <w:rPr>
          <w:b/>
          <w:sz w:val="22"/>
          <w:szCs w:val="22"/>
        </w:rPr>
        <w:t>.</w:t>
      </w:r>
      <w:r w:rsidR="00A72363" w:rsidRPr="003131ED">
        <w:rPr>
          <w:b/>
          <w:sz w:val="22"/>
          <w:szCs w:val="22"/>
        </w:rPr>
        <w:t xml:space="preserve"> </w:t>
      </w:r>
      <w:r w:rsidR="00A72363" w:rsidRPr="003131ED">
        <w:rPr>
          <w:sz w:val="22"/>
          <w:szCs w:val="22"/>
        </w:rPr>
        <w:t xml:space="preserve">3-month-old WT and H67D </w:t>
      </w:r>
      <w:r w:rsidR="00A72363" w:rsidRPr="003131ED">
        <w:rPr>
          <w:i/>
          <w:sz w:val="22"/>
          <w:szCs w:val="22"/>
        </w:rPr>
        <w:t>Hfe</w:t>
      </w:r>
      <w:r w:rsidR="00A72363" w:rsidRPr="003131ED">
        <w:rPr>
          <w:sz w:val="22"/>
          <w:szCs w:val="22"/>
        </w:rPr>
        <w:t xml:space="preserve"> mice were injected with PBS in the left striatum and 5ug </w:t>
      </w:r>
      <w:r w:rsidR="00B10870" w:rsidRPr="003131ED">
        <w:rPr>
          <w:sz w:val="22"/>
          <w:szCs w:val="22"/>
        </w:rPr>
        <w:t xml:space="preserve">mouse </w:t>
      </w:r>
      <w:r w:rsidR="00A72363" w:rsidRPr="003131ED">
        <w:rPr>
          <w:sz w:val="22"/>
          <w:szCs w:val="22"/>
        </w:rPr>
        <w:t>PFF in the right striatum. Baseline motor function was assessed using rotor rod one week after the injection. Subsequent rotor rod testing was performed monthly until end point of 3 months post-injection. (A) Total number of falls during the rotor rod session (</w:t>
      </w:r>
      <w:r w:rsidR="00CC46B8" w:rsidRPr="003131ED">
        <w:rPr>
          <w:sz w:val="22"/>
          <w:szCs w:val="22"/>
        </w:rPr>
        <w:t xml:space="preserve">250s). n = 7 mice, * p &lt; 0.05, Two-way ANOVA with Dunnett’s multiple comparisons. (B) Time to first fall from the rotor rod. n = 7 mice, * p &lt; 0.05, Two-way ANOVA with Dunnett’s multiple comparisons. (C) Cortex near the site of injection was stained for pS129 </w:t>
      </w:r>
      <w:r w:rsidR="00CC46B8" w:rsidRPr="003131ED">
        <w:rPr>
          <w:sz w:val="22"/>
          <w:szCs w:val="22"/>
        </w:rPr>
        <w:sym w:font="Symbol" w:char="F061"/>
      </w:r>
      <w:r w:rsidR="00CC46B8" w:rsidRPr="003131ED">
        <w:rPr>
          <w:sz w:val="22"/>
          <w:szCs w:val="22"/>
        </w:rPr>
        <w:t xml:space="preserve">-synuclein to confirm the seeding of the fibrils. </w:t>
      </w:r>
      <w:proofErr w:type="spellStart"/>
      <w:r w:rsidR="00CC46B8" w:rsidRPr="003131ED">
        <w:rPr>
          <w:sz w:val="22"/>
          <w:szCs w:val="22"/>
        </w:rPr>
        <w:t>Uninjected</w:t>
      </w:r>
      <w:proofErr w:type="spellEnd"/>
      <w:r w:rsidR="00CC46B8" w:rsidRPr="003131ED">
        <w:rPr>
          <w:sz w:val="22"/>
          <w:szCs w:val="22"/>
        </w:rPr>
        <w:t xml:space="preserve"> mice are shown as controls. WT </w:t>
      </w:r>
      <w:r w:rsidR="00CC46B8" w:rsidRPr="003131ED">
        <w:rPr>
          <w:i/>
          <w:sz w:val="22"/>
          <w:szCs w:val="22"/>
        </w:rPr>
        <w:t>Hfe</w:t>
      </w:r>
      <w:r w:rsidR="00CC46B8" w:rsidRPr="003131ED">
        <w:rPr>
          <w:sz w:val="22"/>
          <w:szCs w:val="22"/>
        </w:rPr>
        <w:t xml:space="preserve"> mice show stronger staining for pS129 </w:t>
      </w:r>
      <w:r w:rsidR="00CC46B8" w:rsidRPr="003131ED">
        <w:rPr>
          <w:sz w:val="22"/>
          <w:szCs w:val="22"/>
        </w:rPr>
        <w:sym w:font="Symbol" w:char="F061"/>
      </w:r>
      <w:r w:rsidR="00CC46B8" w:rsidRPr="003131ED">
        <w:rPr>
          <w:sz w:val="22"/>
          <w:szCs w:val="22"/>
        </w:rPr>
        <w:t xml:space="preserve">-synuclein on the side of PFF injection. (D) </w:t>
      </w:r>
      <w:r w:rsidR="000F0033" w:rsidRPr="003131ED">
        <w:rPr>
          <w:sz w:val="22"/>
          <w:szCs w:val="22"/>
        </w:rPr>
        <w:t xml:space="preserve">Histology sections were stained for pS129 </w:t>
      </w:r>
      <w:r w:rsidR="000F0033" w:rsidRPr="003131ED">
        <w:rPr>
          <w:sz w:val="22"/>
          <w:szCs w:val="22"/>
        </w:rPr>
        <w:sym w:font="Symbol" w:char="F061"/>
      </w:r>
      <w:r w:rsidR="000F0033" w:rsidRPr="003131ED">
        <w:rPr>
          <w:sz w:val="22"/>
          <w:szCs w:val="22"/>
        </w:rPr>
        <w:t xml:space="preserve">-synuclein with fluorescent secondary antibody and DAPI. Corrected total fluorescence </w:t>
      </w:r>
      <w:r w:rsidR="00862BF3" w:rsidRPr="003131ED">
        <w:rPr>
          <w:sz w:val="22"/>
          <w:szCs w:val="22"/>
        </w:rPr>
        <w:t xml:space="preserve">(CTF) </w:t>
      </w:r>
      <w:r w:rsidR="000F0033" w:rsidRPr="003131ED">
        <w:rPr>
          <w:sz w:val="22"/>
          <w:szCs w:val="22"/>
        </w:rPr>
        <w:t xml:space="preserve">was quantified by subtracting the background signal and normalizing by DAPI intensity. </w:t>
      </w:r>
      <w:r w:rsidR="00862BF3" w:rsidRPr="003131ED">
        <w:rPr>
          <w:sz w:val="22"/>
          <w:szCs w:val="22"/>
        </w:rPr>
        <w:t xml:space="preserve">Significantly higher CTF was measured from WT </w:t>
      </w:r>
      <w:r w:rsidR="00862BF3" w:rsidRPr="003131ED">
        <w:rPr>
          <w:i/>
          <w:sz w:val="22"/>
          <w:szCs w:val="22"/>
        </w:rPr>
        <w:t>Hfe</w:t>
      </w:r>
      <w:r w:rsidR="00862BF3" w:rsidRPr="003131ED">
        <w:rPr>
          <w:sz w:val="22"/>
          <w:szCs w:val="22"/>
        </w:rPr>
        <w:t xml:space="preserve"> mice compared to H67D </w:t>
      </w:r>
      <w:r w:rsidR="00862BF3" w:rsidRPr="003131ED">
        <w:rPr>
          <w:i/>
          <w:sz w:val="22"/>
          <w:szCs w:val="22"/>
        </w:rPr>
        <w:t>Hfe</w:t>
      </w:r>
      <w:r w:rsidR="00862BF3" w:rsidRPr="003131ED">
        <w:rPr>
          <w:sz w:val="22"/>
          <w:szCs w:val="22"/>
        </w:rPr>
        <w:t xml:space="preserve"> in the PFF injected hemisphere. n = 7 mice (3 fields of view imaged per slide), *** p &lt; 0.001, Student’s t-test.</w:t>
      </w:r>
      <w:r w:rsidR="00862BF3">
        <w:rPr>
          <w:sz w:val="22"/>
          <w:szCs w:val="22"/>
        </w:rPr>
        <w:t xml:space="preserve"> </w:t>
      </w:r>
    </w:p>
    <w:p w14:paraId="1A416E4D" w14:textId="77777777" w:rsidR="00A2601C" w:rsidRPr="001C5C2B" w:rsidRDefault="00A2601C" w:rsidP="00D0468C">
      <w:pPr>
        <w:spacing w:line="360" w:lineRule="auto"/>
        <w:jc w:val="both"/>
        <w:rPr>
          <w:rFonts w:eastAsia="Arial"/>
          <w:b/>
          <w:sz w:val="22"/>
          <w:szCs w:val="22"/>
        </w:rPr>
      </w:pPr>
    </w:p>
    <w:p w14:paraId="1F634E0F" w14:textId="2F030988" w:rsidR="00FE05CA" w:rsidRPr="001C5C2B" w:rsidRDefault="00FE05CA" w:rsidP="00D0468C">
      <w:pPr>
        <w:spacing w:line="360" w:lineRule="auto"/>
        <w:jc w:val="both"/>
        <w:rPr>
          <w:b/>
          <w:sz w:val="22"/>
          <w:szCs w:val="22"/>
        </w:rPr>
      </w:pPr>
    </w:p>
    <w:sectPr w:rsidR="00FE05CA" w:rsidRPr="001C5C2B" w:rsidSect="00202604">
      <w:headerReference w:type="even" r:id="rId8"/>
      <w:headerReference w:type="default" r:id="rId9"/>
      <w:pgSz w:w="11900"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A6D36" w14:textId="77777777" w:rsidR="006D1F93" w:rsidRDefault="006D1F93" w:rsidP="00A75F8C">
      <w:r>
        <w:separator/>
      </w:r>
    </w:p>
  </w:endnote>
  <w:endnote w:type="continuationSeparator" w:id="0">
    <w:p w14:paraId="21DAF039" w14:textId="77777777" w:rsidR="006D1F93" w:rsidRDefault="006D1F93" w:rsidP="00A7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18AE5" w14:textId="77777777" w:rsidR="006D1F93" w:rsidRDefault="006D1F93" w:rsidP="00A75F8C">
      <w:r>
        <w:separator/>
      </w:r>
    </w:p>
  </w:footnote>
  <w:footnote w:type="continuationSeparator" w:id="0">
    <w:p w14:paraId="4E7250A6" w14:textId="77777777" w:rsidR="006D1F93" w:rsidRDefault="006D1F93" w:rsidP="00A7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4253889"/>
      <w:docPartObj>
        <w:docPartGallery w:val="Page Numbers (Top of Page)"/>
        <w:docPartUnique/>
      </w:docPartObj>
    </w:sdtPr>
    <w:sdtContent>
      <w:p w14:paraId="328A17E4" w14:textId="3F625E7E" w:rsidR="000B3659" w:rsidRDefault="000B3659" w:rsidP="00446E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6C9B2F" w14:textId="77777777" w:rsidR="000B3659" w:rsidRDefault="000B3659" w:rsidP="00A75F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9969796"/>
      <w:docPartObj>
        <w:docPartGallery w:val="Page Numbers (Top of Page)"/>
        <w:docPartUnique/>
      </w:docPartObj>
    </w:sdtPr>
    <w:sdtContent>
      <w:p w14:paraId="4A2D89BE" w14:textId="0C22038D" w:rsidR="000B3659" w:rsidRDefault="000B3659" w:rsidP="00446E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DE94CA2" w14:textId="77777777" w:rsidR="000B3659" w:rsidRDefault="000B3659" w:rsidP="00A75F8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6369C"/>
    <w:multiLevelType w:val="hybridMultilevel"/>
    <w:tmpl w:val="CD5A99C6"/>
    <w:lvl w:ilvl="0" w:tplc="35E4C4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B9"/>
    <w:rsid w:val="000001DF"/>
    <w:rsid w:val="0000315B"/>
    <w:rsid w:val="000034D4"/>
    <w:rsid w:val="00003934"/>
    <w:rsid w:val="00012A31"/>
    <w:rsid w:val="000146FD"/>
    <w:rsid w:val="0001641A"/>
    <w:rsid w:val="000173BE"/>
    <w:rsid w:val="000252AB"/>
    <w:rsid w:val="0003105E"/>
    <w:rsid w:val="0003483E"/>
    <w:rsid w:val="000431C7"/>
    <w:rsid w:val="000438E2"/>
    <w:rsid w:val="00044150"/>
    <w:rsid w:val="00052733"/>
    <w:rsid w:val="00053185"/>
    <w:rsid w:val="00053A1B"/>
    <w:rsid w:val="000561DB"/>
    <w:rsid w:val="000562AF"/>
    <w:rsid w:val="000566B3"/>
    <w:rsid w:val="00064672"/>
    <w:rsid w:val="00066723"/>
    <w:rsid w:val="0007059B"/>
    <w:rsid w:val="000757D7"/>
    <w:rsid w:val="000778BB"/>
    <w:rsid w:val="00082883"/>
    <w:rsid w:val="000828A4"/>
    <w:rsid w:val="00084601"/>
    <w:rsid w:val="000852BA"/>
    <w:rsid w:val="00087A6A"/>
    <w:rsid w:val="00087CAF"/>
    <w:rsid w:val="00090875"/>
    <w:rsid w:val="000934D9"/>
    <w:rsid w:val="000A2D9E"/>
    <w:rsid w:val="000A5644"/>
    <w:rsid w:val="000B0D55"/>
    <w:rsid w:val="000B1DBE"/>
    <w:rsid w:val="000B2B59"/>
    <w:rsid w:val="000B3659"/>
    <w:rsid w:val="000B3B86"/>
    <w:rsid w:val="000B492F"/>
    <w:rsid w:val="000B757C"/>
    <w:rsid w:val="000B7684"/>
    <w:rsid w:val="000C0051"/>
    <w:rsid w:val="000C095F"/>
    <w:rsid w:val="000C264B"/>
    <w:rsid w:val="000C5239"/>
    <w:rsid w:val="000C5547"/>
    <w:rsid w:val="000C757B"/>
    <w:rsid w:val="000D40C7"/>
    <w:rsid w:val="000D6212"/>
    <w:rsid w:val="000D68E9"/>
    <w:rsid w:val="000E270D"/>
    <w:rsid w:val="000E36C2"/>
    <w:rsid w:val="000E53C1"/>
    <w:rsid w:val="000E595A"/>
    <w:rsid w:val="000E6735"/>
    <w:rsid w:val="000E6FD3"/>
    <w:rsid w:val="000F0033"/>
    <w:rsid w:val="000F16FC"/>
    <w:rsid w:val="000F1EBB"/>
    <w:rsid w:val="000F2ABE"/>
    <w:rsid w:val="000F2CD0"/>
    <w:rsid w:val="000F2CFA"/>
    <w:rsid w:val="000F68DB"/>
    <w:rsid w:val="00103504"/>
    <w:rsid w:val="00106E9C"/>
    <w:rsid w:val="001114C1"/>
    <w:rsid w:val="00113792"/>
    <w:rsid w:val="0011388B"/>
    <w:rsid w:val="00114984"/>
    <w:rsid w:val="00114E52"/>
    <w:rsid w:val="001166BF"/>
    <w:rsid w:val="0011757E"/>
    <w:rsid w:val="00120ED0"/>
    <w:rsid w:val="00130441"/>
    <w:rsid w:val="00130733"/>
    <w:rsid w:val="00130C88"/>
    <w:rsid w:val="00130F9C"/>
    <w:rsid w:val="00131E42"/>
    <w:rsid w:val="001325E5"/>
    <w:rsid w:val="00132B0D"/>
    <w:rsid w:val="00134B82"/>
    <w:rsid w:val="001356E9"/>
    <w:rsid w:val="00141CA8"/>
    <w:rsid w:val="00143D70"/>
    <w:rsid w:val="00144F50"/>
    <w:rsid w:val="001451FF"/>
    <w:rsid w:val="00151083"/>
    <w:rsid w:val="00152C98"/>
    <w:rsid w:val="001608F4"/>
    <w:rsid w:val="00170837"/>
    <w:rsid w:val="00171EE4"/>
    <w:rsid w:val="00172D92"/>
    <w:rsid w:val="00177143"/>
    <w:rsid w:val="00181FD8"/>
    <w:rsid w:val="00182156"/>
    <w:rsid w:val="00183AB5"/>
    <w:rsid w:val="00183C0B"/>
    <w:rsid w:val="001853E4"/>
    <w:rsid w:val="00186A23"/>
    <w:rsid w:val="00190124"/>
    <w:rsid w:val="00193513"/>
    <w:rsid w:val="0019689C"/>
    <w:rsid w:val="001A5B72"/>
    <w:rsid w:val="001B4ECA"/>
    <w:rsid w:val="001C204C"/>
    <w:rsid w:val="001C56E1"/>
    <w:rsid w:val="001C5BE4"/>
    <w:rsid w:val="001C5C2B"/>
    <w:rsid w:val="001C61BD"/>
    <w:rsid w:val="001C65BD"/>
    <w:rsid w:val="001D0BBC"/>
    <w:rsid w:val="001D34D1"/>
    <w:rsid w:val="001D451E"/>
    <w:rsid w:val="001D593D"/>
    <w:rsid w:val="001D6849"/>
    <w:rsid w:val="001E0DEE"/>
    <w:rsid w:val="001E3601"/>
    <w:rsid w:val="001E4B62"/>
    <w:rsid w:val="001E5CE4"/>
    <w:rsid w:val="001E5EB5"/>
    <w:rsid w:val="001F69B5"/>
    <w:rsid w:val="0020099F"/>
    <w:rsid w:val="00202604"/>
    <w:rsid w:val="00204004"/>
    <w:rsid w:val="00205A22"/>
    <w:rsid w:val="00216EF8"/>
    <w:rsid w:val="00221E41"/>
    <w:rsid w:val="00222A9B"/>
    <w:rsid w:val="002263E5"/>
    <w:rsid w:val="00227D94"/>
    <w:rsid w:val="00231037"/>
    <w:rsid w:val="002343F1"/>
    <w:rsid w:val="00237F7B"/>
    <w:rsid w:val="0024080A"/>
    <w:rsid w:val="002410BE"/>
    <w:rsid w:val="00244965"/>
    <w:rsid w:val="0024516F"/>
    <w:rsid w:val="00247FD3"/>
    <w:rsid w:val="00253A9C"/>
    <w:rsid w:val="00260650"/>
    <w:rsid w:val="00261159"/>
    <w:rsid w:val="00264249"/>
    <w:rsid w:val="002654D6"/>
    <w:rsid w:val="00267A9D"/>
    <w:rsid w:val="00270689"/>
    <w:rsid w:val="002707CC"/>
    <w:rsid w:val="0027214F"/>
    <w:rsid w:val="00272CB8"/>
    <w:rsid w:val="002739FA"/>
    <w:rsid w:val="00274921"/>
    <w:rsid w:val="00276B07"/>
    <w:rsid w:val="002779E2"/>
    <w:rsid w:val="00277D74"/>
    <w:rsid w:val="002801FC"/>
    <w:rsid w:val="0028083D"/>
    <w:rsid w:val="0028088C"/>
    <w:rsid w:val="00282EDD"/>
    <w:rsid w:val="00287846"/>
    <w:rsid w:val="00293942"/>
    <w:rsid w:val="00297CB8"/>
    <w:rsid w:val="002A1835"/>
    <w:rsid w:val="002A542A"/>
    <w:rsid w:val="002A5CC2"/>
    <w:rsid w:val="002A5D95"/>
    <w:rsid w:val="002A768D"/>
    <w:rsid w:val="002B096E"/>
    <w:rsid w:val="002B14E2"/>
    <w:rsid w:val="002B52EC"/>
    <w:rsid w:val="002B6D69"/>
    <w:rsid w:val="002C023A"/>
    <w:rsid w:val="002C389D"/>
    <w:rsid w:val="002C696D"/>
    <w:rsid w:val="002D0896"/>
    <w:rsid w:val="002D1B25"/>
    <w:rsid w:val="002D254B"/>
    <w:rsid w:val="002D2B76"/>
    <w:rsid w:val="002D60AA"/>
    <w:rsid w:val="002E1629"/>
    <w:rsid w:val="002E4D9B"/>
    <w:rsid w:val="002E625E"/>
    <w:rsid w:val="002E6368"/>
    <w:rsid w:val="002E7093"/>
    <w:rsid w:val="002F3A57"/>
    <w:rsid w:val="003012AC"/>
    <w:rsid w:val="0030741A"/>
    <w:rsid w:val="00311CE9"/>
    <w:rsid w:val="003131ED"/>
    <w:rsid w:val="003149D5"/>
    <w:rsid w:val="0031665F"/>
    <w:rsid w:val="00324C02"/>
    <w:rsid w:val="0032760E"/>
    <w:rsid w:val="003276CE"/>
    <w:rsid w:val="00330C07"/>
    <w:rsid w:val="00333013"/>
    <w:rsid w:val="0033595B"/>
    <w:rsid w:val="00341A43"/>
    <w:rsid w:val="00345A5B"/>
    <w:rsid w:val="003558A2"/>
    <w:rsid w:val="00355BC3"/>
    <w:rsid w:val="0036320B"/>
    <w:rsid w:val="00364166"/>
    <w:rsid w:val="00364982"/>
    <w:rsid w:val="00364DF6"/>
    <w:rsid w:val="00366EE5"/>
    <w:rsid w:val="00367DED"/>
    <w:rsid w:val="00370D94"/>
    <w:rsid w:val="0037437B"/>
    <w:rsid w:val="00374918"/>
    <w:rsid w:val="003749DB"/>
    <w:rsid w:val="00374CC1"/>
    <w:rsid w:val="00382A87"/>
    <w:rsid w:val="00383E1E"/>
    <w:rsid w:val="00385492"/>
    <w:rsid w:val="003865D2"/>
    <w:rsid w:val="00387CC2"/>
    <w:rsid w:val="00390004"/>
    <w:rsid w:val="00391151"/>
    <w:rsid w:val="00391B30"/>
    <w:rsid w:val="003A087E"/>
    <w:rsid w:val="003A2F66"/>
    <w:rsid w:val="003A509D"/>
    <w:rsid w:val="003A55E8"/>
    <w:rsid w:val="003A5878"/>
    <w:rsid w:val="003A5F11"/>
    <w:rsid w:val="003B78EC"/>
    <w:rsid w:val="003B790B"/>
    <w:rsid w:val="003C3AC3"/>
    <w:rsid w:val="003C5928"/>
    <w:rsid w:val="003C753B"/>
    <w:rsid w:val="003C765B"/>
    <w:rsid w:val="003D066A"/>
    <w:rsid w:val="003D0877"/>
    <w:rsid w:val="003D0A46"/>
    <w:rsid w:val="003D2284"/>
    <w:rsid w:val="003D4C00"/>
    <w:rsid w:val="003D4D20"/>
    <w:rsid w:val="003D5853"/>
    <w:rsid w:val="003D5D07"/>
    <w:rsid w:val="003E170E"/>
    <w:rsid w:val="003E4D01"/>
    <w:rsid w:val="003E501E"/>
    <w:rsid w:val="003E6338"/>
    <w:rsid w:val="003E6E5D"/>
    <w:rsid w:val="003F063A"/>
    <w:rsid w:val="003F2A75"/>
    <w:rsid w:val="003F3615"/>
    <w:rsid w:val="003F3E60"/>
    <w:rsid w:val="003F51A8"/>
    <w:rsid w:val="004064EE"/>
    <w:rsid w:val="004108AD"/>
    <w:rsid w:val="004108D0"/>
    <w:rsid w:val="00411700"/>
    <w:rsid w:val="004122CD"/>
    <w:rsid w:val="00412450"/>
    <w:rsid w:val="004132FC"/>
    <w:rsid w:val="00413DE1"/>
    <w:rsid w:val="0042054F"/>
    <w:rsid w:val="00420911"/>
    <w:rsid w:val="00420F92"/>
    <w:rsid w:val="00421BA1"/>
    <w:rsid w:val="004231F3"/>
    <w:rsid w:val="00423254"/>
    <w:rsid w:val="00423E67"/>
    <w:rsid w:val="004246FC"/>
    <w:rsid w:val="0042747A"/>
    <w:rsid w:val="0043019B"/>
    <w:rsid w:val="004316FC"/>
    <w:rsid w:val="00442358"/>
    <w:rsid w:val="00443078"/>
    <w:rsid w:val="00444FA0"/>
    <w:rsid w:val="00445CFE"/>
    <w:rsid w:val="00446E7B"/>
    <w:rsid w:val="00450FCA"/>
    <w:rsid w:val="00453798"/>
    <w:rsid w:val="00461AB7"/>
    <w:rsid w:val="004622CC"/>
    <w:rsid w:val="0046572C"/>
    <w:rsid w:val="00466DB3"/>
    <w:rsid w:val="00471424"/>
    <w:rsid w:val="00471762"/>
    <w:rsid w:val="004724EB"/>
    <w:rsid w:val="00472669"/>
    <w:rsid w:val="00473FB9"/>
    <w:rsid w:val="00475DCF"/>
    <w:rsid w:val="00484988"/>
    <w:rsid w:val="004858EC"/>
    <w:rsid w:val="004875EA"/>
    <w:rsid w:val="00492553"/>
    <w:rsid w:val="004926B3"/>
    <w:rsid w:val="00494259"/>
    <w:rsid w:val="004977E7"/>
    <w:rsid w:val="00497912"/>
    <w:rsid w:val="00497C14"/>
    <w:rsid w:val="004A0EDF"/>
    <w:rsid w:val="004A4991"/>
    <w:rsid w:val="004A600A"/>
    <w:rsid w:val="004B03E7"/>
    <w:rsid w:val="004B2494"/>
    <w:rsid w:val="004B3A6E"/>
    <w:rsid w:val="004B66FC"/>
    <w:rsid w:val="004C0ACB"/>
    <w:rsid w:val="004C5FC1"/>
    <w:rsid w:val="004C6898"/>
    <w:rsid w:val="004C71FD"/>
    <w:rsid w:val="004C750E"/>
    <w:rsid w:val="004D137C"/>
    <w:rsid w:val="004D26B0"/>
    <w:rsid w:val="004D51ED"/>
    <w:rsid w:val="004D625C"/>
    <w:rsid w:val="004D75AC"/>
    <w:rsid w:val="004E1DC4"/>
    <w:rsid w:val="004E7D61"/>
    <w:rsid w:val="004F7E3D"/>
    <w:rsid w:val="00503813"/>
    <w:rsid w:val="00503DAD"/>
    <w:rsid w:val="00503F66"/>
    <w:rsid w:val="00505273"/>
    <w:rsid w:val="00505A3C"/>
    <w:rsid w:val="00505C7B"/>
    <w:rsid w:val="00507110"/>
    <w:rsid w:val="00511C78"/>
    <w:rsid w:val="005138AE"/>
    <w:rsid w:val="00514F83"/>
    <w:rsid w:val="00516D83"/>
    <w:rsid w:val="00517999"/>
    <w:rsid w:val="00520C3A"/>
    <w:rsid w:val="0052137E"/>
    <w:rsid w:val="00524D9D"/>
    <w:rsid w:val="00525226"/>
    <w:rsid w:val="005279DD"/>
    <w:rsid w:val="005301CD"/>
    <w:rsid w:val="005309E5"/>
    <w:rsid w:val="005353D1"/>
    <w:rsid w:val="00542B23"/>
    <w:rsid w:val="00543053"/>
    <w:rsid w:val="00543637"/>
    <w:rsid w:val="00545D27"/>
    <w:rsid w:val="00551383"/>
    <w:rsid w:val="005547BB"/>
    <w:rsid w:val="00554AA4"/>
    <w:rsid w:val="00557982"/>
    <w:rsid w:val="0057314F"/>
    <w:rsid w:val="005756CB"/>
    <w:rsid w:val="005770A4"/>
    <w:rsid w:val="00582EFB"/>
    <w:rsid w:val="00584BB1"/>
    <w:rsid w:val="00584D6D"/>
    <w:rsid w:val="00586050"/>
    <w:rsid w:val="005905C2"/>
    <w:rsid w:val="00592846"/>
    <w:rsid w:val="0059290F"/>
    <w:rsid w:val="00592C89"/>
    <w:rsid w:val="00594C8C"/>
    <w:rsid w:val="00595E9B"/>
    <w:rsid w:val="005976F4"/>
    <w:rsid w:val="005A01E5"/>
    <w:rsid w:val="005A2880"/>
    <w:rsid w:val="005A5F87"/>
    <w:rsid w:val="005A7D41"/>
    <w:rsid w:val="005B03CD"/>
    <w:rsid w:val="005B0438"/>
    <w:rsid w:val="005B19F5"/>
    <w:rsid w:val="005B1D4A"/>
    <w:rsid w:val="005B26CC"/>
    <w:rsid w:val="005B3AD3"/>
    <w:rsid w:val="005B401A"/>
    <w:rsid w:val="005B42ED"/>
    <w:rsid w:val="005C0301"/>
    <w:rsid w:val="005C7EF5"/>
    <w:rsid w:val="005D1A4B"/>
    <w:rsid w:val="005D681F"/>
    <w:rsid w:val="005E010D"/>
    <w:rsid w:val="005E3BBB"/>
    <w:rsid w:val="005E41A2"/>
    <w:rsid w:val="005E44E8"/>
    <w:rsid w:val="005E5E26"/>
    <w:rsid w:val="005E77A9"/>
    <w:rsid w:val="005F0413"/>
    <w:rsid w:val="005F09CE"/>
    <w:rsid w:val="005F27AE"/>
    <w:rsid w:val="005F469C"/>
    <w:rsid w:val="00600599"/>
    <w:rsid w:val="00601D00"/>
    <w:rsid w:val="0060480B"/>
    <w:rsid w:val="00604FD4"/>
    <w:rsid w:val="00605777"/>
    <w:rsid w:val="00606188"/>
    <w:rsid w:val="006066C6"/>
    <w:rsid w:val="006073CD"/>
    <w:rsid w:val="00610E39"/>
    <w:rsid w:val="00611319"/>
    <w:rsid w:val="006114DF"/>
    <w:rsid w:val="006152D0"/>
    <w:rsid w:val="0061641C"/>
    <w:rsid w:val="00617FB9"/>
    <w:rsid w:val="00620825"/>
    <w:rsid w:val="00626C81"/>
    <w:rsid w:val="00635F99"/>
    <w:rsid w:val="00636063"/>
    <w:rsid w:val="006409F7"/>
    <w:rsid w:val="006413B7"/>
    <w:rsid w:val="00641479"/>
    <w:rsid w:val="00642924"/>
    <w:rsid w:val="0064464D"/>
    <w:rsid w:val="00645491"/>
    <w:rsid w:val="0064601A"/>
    <w:rsid w:val="00650AC6"/>
    <w:rsid w:val="00651CBF"/>
    <w:rsid w:val="00655F34"/>
    <w:rsid w:val="00655FF7"/>
    <w:rsid w:val="00657AF4"/>
    <w:rsid w:val="00657EEA"/>
    <w:rsid w:val="00661462"/>
    <w:rsid w:val="00662AA4"/>
    <w:rsid w:val="00664C15"/>
    <w:rsid w:val="00665297"/>
    <w:rsid w:val="00665E69"/>
    <w:rsid w:val="00666493"/>
    <w:rsid w:val="00666F8D"/>
    <w:rsid w:val="0067064C"/>
    <w:rsid w:val="0067221A"/>
    <w:rsid w:val="00672AAA"/>
    <w:rsid w:val="0067300A"/>
    <w:rsid w:val="00675656"/>
    <w:rsid w:val="0067606A"/>
    <w:rsid w:val="00680DBD"/>
    <w:rsid w:val="00683AB4"/>
    <w:rsid w:val="00684510"/>
    <w:rsid w:val="00685183"/>
    <w:rsid w:val="006875EE"/>
    <w:rsid w:val="0068797A"/>
    <w:rsid w:val="00691600"/>
    <w:rsid w:val="006950AF"/>
    <w:rsid w:val="006A3898"/>
    <w:rsid w:val="006A3C92"/>
    <w:rsid w:val="006A5257"/>
    <w:rsid w:val="006A5280"/>
    <w:rsid w:val="006B03F5"/>
    <w:rsid w:val="006B084E"/>
    <w:rsid w:val="006B4B33"/>
    <w:rsid w:val="006B53F1"/>
    <w:rsid w:val="006B5526"/>
    <w:rsid w:val="006B7C64"/>
    <w:rsid w:val="006D08C1"/>
    <w:rsid w:val="006D1F93"/>
    <w:rsid w:val="006D44C5"/>
    <w:rsid w:val="006D49F9"/>
    <w:rsid w:val="006D611D"/>
    <w:rsid w:val="006D6621"/>
    <w:rsid w:val="006D72C4"/>
    <w:rsid w:val="006E1017"/>
    <w:rsid w:val="006E1041"/>
    <w:rsid w:val="006E59C9"/>
    <w:rsid w:val="006E72CE"/>
    <w:rsid w:val="006F02CA"/>
    <w:rsid w:val="006F7A92"/>
    <w:rsid w:val="00702430"/>
    <w:rsid w:val="007032D9"/>
    <w:rsid w:val="0070501B"/>
    <w:rsid w:val="00706ED7"/>
    <w:rsid w:val="00714662"/>
    <w:rsid w:val="00715CE6"/>
    <w:rsid w:val="00720C94"/>
    <w:rsid w:val="00721E53"/>
    <w:rsid w:val="00723154"/>
    <w:rsid w:val="007269DC"/>
    <w:rsid w:val="0073780E"/>
    <w:rsid w:val="00740C55"/>
    <w:rsid w:val="00746128"/>
    <w:rsid w:val="0075085D"/>
    <w:rsid w:val="00753847"/>
    <w:rsid w:val="007572AE"/>
    <w:rsid w:val="0075773D"/>
    <w:rsid w:val="00760AFE"/>
    <w:rsid w:val="007616BE"/>
    <w:rsid w:val="00762FC6"/>
    <w:rsid w:val="00763ABB"/>
    <w:rsid w:val="00763ED9"/>
    <w:rsid w:val="00764028"/>
    <w:rsid w:val="00764E0F"/>
    <w:rsid w:val="0076564D"/>
    <w:rsid w:val="00765B85"/>
    <w:rsid w:val="007670AC"/>
    <w:rsid w:val="00767AF7"/>
    <w:rsid w:val="00771116"/>
    <w:rsid w:val="00775956"/>
    <w:rsid w:val="00777676"/>
    <w:rsid w:val="007776E7"/>
    <w:rsid w:val="007865DF"/>
    <w:rsid w:val="007910BB"/>
    <w:rsid w:val="007925FA"/>
    <w:rsid w:val="00792C55"/>
    <w:rsid w:val="00794171"/>
    <w:rsid w:val="007A20D4"/>
    <w:rsid w:val="007A3C06"/>
    <w:rsid w:val="007A6366"/>
    <w:rsid w:val="007A6561"/>
    <w:rsid w:val="007A6918"/>
    <w:rsid w:val="007A7226"/>
    <w:rsid w:val="007A7AC2"/>
    <w:rsid w:val="007B1297"/>
    <w:rsid w:val="007B1E32"/>
    <w:rsid w:val="007B25CB"/>
    <w:rsid w:val="007B3A73"/>
    <w:rsid w:val="007B4110"/>
    <w:rsid w:val="007C00B4"/>
    <w:rsid w:val="007C1A08"/>
    <w:rsid w:val="007C37C6"/>
    <w:rsid w:val="007C7EB9"/>
    <w:rsid w:val="007D06DA"/>
    <w:rsid w:val="007D0C9A"/>
    <w:rsid w:val="007D3AE7"/>
    <w:rsid w:val="007D4843"/>
    <w:rsid w:val="007D4D5D"/>
    <w:rsid w:val="007D657C"/>
    <w:rsid w:val="007E7CC3"/>
    <w:rsid w:val="007F331A"/>
    <w:rsid w:val="007F3FEF"/>
    <w:rsid w:val="007F471C"/>
    <w:rsid w:val="00800214"/>
    <w:rsid w:val="008010EE"/>
    <w:rsid w:val="008021F0"/>
    <w:rsid w:val="0080789B"/>
    <w:rsid w:val="00810480"/>
    <w:rsid w:val="00810F3D"/>
    <w:rsid w:val="00811BCA"/>
    <w:rsid w:val="00814C4C"/>
    <w:rsid w:val="0081586B"/>
    <w:rsid w:val="00816E7A"/>
    <w:rsid w:val="008274DA"/>
    <w:rsid w:val="008278EE"/>
    <w:rsid w:val="008311D1"/>
    <w:rsid w:val="008332F8"/>
    <w:rsid w:val="00834233"/>
    <w:rsid w:val="0083552D"/>
    <w:rsid w:val="00836273"/>
    <w:rsid w:val="00840DF4"/>
    <w:rsid w:val="0084346D"/>
    <w:rsid w:val="00843A9D"/>
    <w:rsid w:val="0085421F"/>
    <w:rsid w:val="00862BF3"/>
    <w:rsid w:val="00862D16"/>
    <w:rsid w:val="00872B40"/>
    <w:rsid w:val="00872B5B"/>
    <w:rsid w:val="00873851"/>
    <w:rsid w:val="00874ABA"/>
    <w:rsid w:val="00884612"/>
    <w:rsid w:val="00885425"/>
    <w:rsid w:val="0088618A"/>
    <w:rsid w:val="00895855"/>
    <w:rsid w:val="00896A1C"/>
    <w:rsid w:val="008A20D9"/>
    <w:rsid w:val="008A2CA7"/>
    <w:rsid w:val="008A3FE8"/>
    <w:rsid w:val="008A57FE"/>
    <w:rsid w:val="008A5B1C"/>
    <w:rsid w:val="008A69FF"/>
    <w:rsid w:val="008A791A"/>
    <w:rsid w:val="008B2DCE"/>
    <w:rsid w:val="008B6361"/>
    <w:rsid w:val="008C244B"/>
    <w:rsid w:val="008C2882"/>
    <w:rsid w:val="008C5A08"/>
    <w:rsid w:val="008D01B6"/>
    <w:rsid w:val="008D02C6"/>
    <w:rsid w:val="008D220B"/>
    <w:rsid w:val="008D33CB"/>
    <w:rsid w:val="008D413D"/>
    <w:rsid w:val="008E0316"/>
    <w:rsid w:val="008E16DD"/>
    <w:rsid w:val="008E20C6"/>
    <w:rsid w:val="008E5067"/>
    <w:rsid w:val="008E52F2"/>
    <w:rsid w:val="008E6EB0"/>
    <w:rsid w:val="008E7A85"/>
    <w:rsid w:val="008E7EA0"/>
    <w:rsid w:val="008F03FA"/>
    <w:rsid w:val="008F1441"/>
    <w:rsid w:val="008F211E"/>
    <w:rsid w:val="008F522C"/>
    <w:rsid w:val="008F6D1A"/>
    <w:rsid w:val="008F7048"/>
    <w:rsid w:val="0090063A"/>
    <w:rsid w:val="00900BEC"/>
    <w:rsid w:val="00902FEA"/>
    <w:rsid w:val="009046C0"/>
    <w:rsid w:val="00910994"/>
    <w:rsid w:val="00910AFA"/>
    <w:rsid w:val="0091102B"/>
    <w:rsid w:val="00912431"/>
    <w:rsid w:val="0091287A"/>
    <w:rsid w:val="00921A7F"/>
    <w:rsid w:val="009230FE"/>
    <w:rsid w:val="00931B4F"/>
    <w:rsid w:val="00940488"/>
    <w:rsid w:val="00943040"/>
    <w:rsid w:val="009479F3"/>
    <w:rsid w:val="00956CC7"/>
    <w:rsid w:val="0096130E"/>
    <w:rsid w:val="009620FB"/>
    <w:rsid w:val="00962B09"/>
    <w:rsid w:val="009652FC"/>
    <w:rsid w:val="00967285"/>
    <w:rsid w:val="009712FF"/>
    <w:rsid w:val="0097183E"/>
    <w:rsid w:val="009720A5"/>
    <w:rsid w:val="00972101"/>
    <w:rsid w:val="00972CA4"/>
    <w:rsid w:val="00973016"/>
    <w:rsid w:val="00982F97"/>
    <w:rsid w:val="00985665"/>
    <w:rsid w:val="0098704E"/>
    <w:rsid w:val="0099059F"/>
    <w:rsid w:val="0099653B"/>
    <w:rsid w:val="009974C5"/>
    <w:rsid w:val="009977F7"/>
    <w:rsid w:val="00997A50"/>
    <w:rsid w:val="00997D9F"/>
    <w:rsid w:val="009A09BA"/>
    <w:rsid w:val="009A30C1"/>
    <w:rsid w:val="009A4E03"/>
    <w:rsid w:val="009A4E44"/>
    <w:rsid w:val="009B2F68"/>
    <w:rsid w:val="009B3C53"/>
    <w:rsid w:val="009B4B1D"/>
    <w:rsid w:val="009B4D7A"/>
    <w:rsid w:val="009B542C"/>
    <w:rsid w:val="009B6E34"/>
    <w:rsid w:val="009C0553"/>
    <w:rsid w:val="009C26E8"/>
    <w:rsid w:val="009C4B9D"/>
    <w:rsid w:val="009C5890"/>
    <w:rsid w:val="009D1B6E"/>
    <w:rsid w:val="009D5FC6"/>
    <w:rsid w:val="009E1A43"/>
    <w:rsid w:val="009E1C07"/>
    <w:rsid w:val="009E2414"/>
    <w:rsid w:val="009E2890"/>
    <w:rsid w:val="009E43C9"/>
    <w:rsid w:val="009E4BEF"/>
    <w:rsid w:val="009E4CF0"/>
    <w:rsid w:val="009E6CCC"/>
    <w:rsid w:val="009E6CDA"/>
    <w:rsid w:val="009F05B8"/>
    <w:rsid w:val="009F0CE1"/>
    <w:rsid w:val="009F6F48"/>
    <w:rsid w:val="00A00277"/>
    <w:rsid w:val="00A00A4D"/>
    <w:rsid w:val="00A0353B"/>
    <w:rsid w:val="00A046AB"/>
    <w:rsid w:val="00A06216"/>
    <w:rsid w:val="00A06CBD"/>
    <w:rsid w:val="00A13EAB"/>
    <w:rsid w:val="00A16B94"/>
    <w:rsid w:val="00A178BC"/>
    <w:rsid w:val="00A17944"/>
    <w:rsid w:val="00A20010"/>
    <w:rsid w:val="00A24E8F"/>
    <w:rsid w:val="00A255B4"/>
    <w:rsid w:val="00A2584F"/>
    <w:rsid w:val="00A2601C"/>
    <w:rsid w:val="00A27E87"/>
    <w:rsid w:val="00A3002E"/>
    <w:rsid w:val="00A33C3A"/>
    <w:rsid w:val="00A33C99"/>
    <w:rsid w:val="00A33EF9"/>
    <w:rsid w:val="00A350F7"/>
    <w:rsid w:val="00A35DDC"/>
    <w:rsid w:val="00A36046"/>
    <w:rsid w:val="00A404D4"/>
    <w:rsid w:val="00A4275B"/>
    <w:rsid w:val="00A4599E"/>
    <w:rsid w:val="00A46317"/>
    <w:rsid w:val="00A52235"/>
    <w:rsid w:val="00A56AFA"/>
    <w:rsid w:val="00A57046"/>
    <w:rsid w:val="00A605C0"/>
    <w:rsid w:val="00A63719"/>
    <w:rsid w:val="00A675B7"/>
    <w:rsid w:val="00A7061D"/>
    <w:rsid w:val="00A710A4"/>
    <w:rsid w:val="00A72363"/>
    <w:rsid w:val="00A7491E"/>
    <w:rsid w:val="00A74B09"/>
    <w:rsid w:val="00A75F8C"/>
    <w:rsid w:val="00A7600F"/>
    <w:rsid w:val="00A85ACE"/>
    <w:rsid w:val="00A96820"/>
    <w:rsid w:val="00A96850"/>
    <w:rsid w:val="00A972CF"/>
    <w:rsid w:val="00AA12C0"/>
    <w:rsid w:val="00AA285C"/>
    <w:rsid w:val="00AA74CF"/>
    <w:rsid w:val="00AB0B46"/>
    <w:rsid w:val="00AC3531"/>
    <w:rsid w:val="00AC6023"/>
    <w:rsid w:val="00AD1490"/>
    <w:rsid w:val="00AD585C"/>
    <w:rsid w:val="00AD5C82"/>
    <w:rsid w:val="00AD6610"/>
    <w:rsid w:val="00AD7430"/>
    <w:rsid w:val="00AE17DD"/>
    <w:rsid w:val="00AE2D9E"/>
    <w:rsid w:val="00AE496C"/>
    <w:rsid w:val="00AE5D82"/>
    <w:rsid w:val="00AF5D15"/>
    <w:rsid w:val="00AF615B"/>
    <w:rsid w:val="00AF68C9"/>
    <w:rsid w:val="00AF6AF8"/>
    <w:rsid w:val="00B02AAE"/>
    <w:rsid w:val="00B04B44"/>
    <w:rsid w:val="00B04DAF"/>
    <w:rsid w:val="00B050CF"/>
    <w:rsid w:val="00B067A8"/>
    <w:rsid w:val="00B069B0"/>
    <w:rsid w:val="00B10870"/>
    <w:rsid w:val="00B12C1C"/>
    <w:rsid w:val="00B12FDE"/>
    <w:rsid w:val="00B1601A"/>
    <w:rsid w:val="00B16685"/>
    <w:rsid w:val="00B16837"/>
    <w:rsid w:val="00B23879"/>
    <w:rsid w:val="00B3032C"/>
    <w:rsid w:val="00B31A8B"/>
    <w:rsid w:val="00B34F64"/>
    <w:rsid w:val="00B367D2"/>
    <w:rsid w:val="00B37C46"/>
    <w:rsid w:val="00B415F6"/>
    <w:rsid w:val="00B41BA4"/>
    <w:rsid w:val="00B456E7"/>
    <w:rsid w:val="00B465F1"/>
    <w:rsid w:val="00B47533"/>
    <w:rsid w:val="00B5031A"/>
    <w:rsid w:val="00B50F6F"/>
    <w:rsid w:val="00B528C7"/>
    <w:rsid w:val="00B538B0"/>
    <w:rsid w:val="00B53E41"/>
    <w:rsid w:val="00B554F9"/>
    <w:rsid w:val="00B6127E"/>
    <w:rsid w:val="00B62B0A"/>
    <w:rsid w:val="00B6304E"/>
    <w:rsid w:val="00B669E7"/>
    <w:rsid w:val="00B71D6A"/>
    <w:rsid w:val="00B74354"/>
    <w:rsid w:val="00B74FF8"/>
    <w:rsid w:val="00B7584B"/>
    <w:rsid w:val="00B76933"/>
    <w:rsid w:val="00B91118"/>
    <w:rsid w:val="00B9550D"/>
    <w:rsid w:val="00B95D5B"/>
    <w:rsid w:val="00B96406"/>
    <w:rsid w:val="00B96AAE"/>
    <w:rsid w:val="00BA208B"/>
    <w:rsid w:val="00BA3A65"/>
    <w:rsid w:val="00BA429A"/>
    <w:rsid w:val="00BA7193"/>
    <w:rsid w:val="00BB0878"/>
    <w:rsid w:val="00BB2813"/>
    <w:rsid w:val="00BB38BC"/>
    <w:rsid w:val="00BB4ACB"/>
    <w:rsid w:val="00BB5F71"/>
    <w:rsid w:val="00BC0997"/>
    <w:rsid w:val="00BC11AA"/>
    <w:rsid w:val="00BC2911"/>
    <w:rsid w:val="00BC5032"/>
    <w:rsid w:val="00BC5241"/>
    <w:rsid w:val="00BC70A1"/>
    <w:rsid w:val="00BC7F6D"/>
    <w:rsid w:val="00BD3E6E"/>
    <w:rsid w:val="00BD4A37"/>
    <w:rsid w:val="00BE003D"/>
    <w:rsid w:val="00BE20F3"/>
    <w:rsid w:val="00BE432F"/>
    <w:rsid w:val="00BF246F"/>
    <w:rsid w:val="00BF3EF6"/>
    <w:rsid w:val="00C0213F"/>
    <w:rsid w:val="00C03624"/>
    <w:rsid w:val="00C06CC9"/>
    <w:rsid w:val="00C1355D"/>
    <w:rsid w:val="00C16DBF"/>
    <w:rsid w:val="00C17C19"/>
    <w:rsid w:val="00C2378B"/>
    <w:rsid w:val="00C26A19"/>
    <w:rsid w:val="00C3058E"/>
    <w:rsid w:val="00C30C63"/>
    <w:rsid w:val="00C36C83"/>
    <w:rsid w:val="00C41746"/>
    <w:rsid w:val="00C43175"/>
    <w:rsid w:val="00C44E5F"/>
    <w:rsid w:val="00C45878"/>
    <w:rsid w:val="00C46163"/>
    <w:rsid w:val="00C47119"/>
    <w:rsid w:val="00C532ED"/>
    <w:rsid w:val="00C538DA"/>
    <w:rsid w:val="00C55178"/>
    <w:rsid w:val="00C558A4"/>
    <w:rsid w:val="00C56BE5"/>
    <w:rsid w:val="00C5771C"/>
    <w:rsid w:val="00C6153F"/>
    <w:rsid w:val="00C6483A"/>
    <w:rsid w:val="00C67F45"/>
    <w:rsid w:val="00C7188E"/>
    <w:rsid w:val="00C72414"/>
    <w:rsid w:val="00C738A5"/>
    <w:rsid w:val="00C749F9"/>
    <w:rsid w:val="00C7501C"/>
    <w:rsid w:val="00C7543F"/>
    <w:rsid w:val="00C7633B"/>
    <w:rsid w:val="00C76925"/>
    <w:rsid w:val="00C77C8D"/>
    <w:rsid w:val="00C80017"/>
    <w:rsid w:val="00C832FB"/>
    <w:rsid w:val="00C857C2"/>
    <w:rsid w:val="00C8686B"/>
    <w:rsid w:val="00C90BBF"/>
    <w:rsid w:val="00C90DEC"/>
    <w:rsid w:val="00C918D8"/>
    <w:rsid w:val="00C9245D"/>
    <w:rsid w:val="00C94842"/>
    <w:rsid w:val="00C97BF6"/>
    <w:rsid w:val="00CA092A"/>
    <w:rsid w:val="00CA69B7"/>
    <w:rsid w:val="00CB45F0"/>
    <w:rsid w:val="00CB48F2"/>
    <w:rsid w:val="00CB59D5"/>
    <w:rsid w:val="00CB6702"/>
    <w:rsid w:val="00CB6908"/>
    <w:rsid w:val="00CB72FB"/>
    <w:rsid w:val="00CC0166"/>
    <w:rsid w:val="00CC46B8"/>
    <w:rsid w:val="00CC66F1"/>
    <w:rsid w:val="00CD011D"/>
    <w:rsid w:val="00CD0935"/>
    <w:rsid w:val="00CD173D"/>
    <w:rsid w:val="00CD4729"/>
    <w:rsid w:val="00CE119B"/>
    <w:rsid w:val="00CE4817"/>
    <w:rsid w:val="00CE5784"/>
    <w:rsid w:val="00CF0F02"/>
    <w:rsid w:val="00CF1A80"/>
    <w:rsid w:val="00CF24BC"/>
    <w:rsid w:val="00CF5867"/>
    <w:rsid w:val="00CF58F0"/>
    <w:rsid w:val="00CF70DD"/>
    <w:rsid w:val="00CF7FC5"/>
    <w:rsid w:val="00D01F77"/>
    <w:rsid w:val="00D04213"/>
    <w:rsid w:val="00D0468C"/>
    <w:rsid w:val="00D05E5D"/>
    <w:rsid w:val="00D06336"/>
    <w:rsid w:val="00D06F15"/>
    <w:rsid w:val="00D07902"/>
    <w:rsid w:val="00D104BA"/>
    <w:rsid w:val="00D10649"/>
    <w:rsid w:val="00D10E0E"/>
    <w:rsid w:val="00D1256D"/>
    <w:rsid w:val="00D13183"/>
    <w:rsid w:val="00D13310"/>
    <w:rsid w:val="00D14557"/>
    <w:rsid w:val="00D15698"/>
    <w:rsid w:val="00D15D5B"/>
    <w:rsid w:val="00D1654E"/>
    <w:rsid w:val="00D208C0"/>
    <w:rsid w:val="00D21119"/>
    <w:rsid w:val="00D21902"/>
    <w:rsid w:val="00D269CF"/>
    <w:rsid w:val="00D27356"/>
    <w:rsid w:val="00D33713"/>
    <w:rsid w:val="00D42B3A"/>
    <w:rsid w:val="00D43AEA"/>
    <w:rsid w:val="00D44BCA"/>
    <w:rsid w:val="00D46205"/>
    <w:rsid w:val="00D46311"/>
    <w:rsid w:val="00D474C5"/>
    <w:rsid w:val="00D51B5B"/>
    <w:rsid w:val="00D531C9"/>
    <w:rsid w:val="00D57FFA"/>
    <w:rsid w:val="00D60F5E"/>
    <w:rsid w:val="00D6266E"/>
    <w:rsid w:val="00D65571"/>
    <w:rsid w:val="00D66981"/>
    <w:rsid w:val="00D714E5"/>
    <w:rsid w:val="00D729AE"/>
    <w:rsid w:val="00D729DC"/>
    <w:rsid w:val="00D75580"/>
    <w:rsid w:val="00D819E7"/>
    <w:rsid w:val="00D825A4"/>
    <w:rsid w:val="00D83438"/>
    <w:rsid w:val="00D861D4"/>
    <w:rsid w:val="00D86B9A"/>
    <w:rsid w:val="00D93506"/>
    <w:rsid w:val="00D97D9A"/>
    <w:rsid w:val="00D97EF6"/>
    <w:rsid w:val="00DA117F"/>
    <w:rsid w:val="00DA44F9"/>
    <w:rsid w:val="00DA53B2"/>
    <w:rsid w:val="00DA5987"/>
    <w:rsid w:val="00DA6FA6"/>
    <w:rsid w:val="00DB303E"/>
    <w:rsid w:val="00DB5368"/>
    <w:rsid w:val="00DC04FC"/>
    <w:rsid w:val="00DC3443"/>
    <w:rsid w:val="00DC43E0"/>
    <w:rsid w:val="00DC56EC"/>
    <w:rsid w:val="00DC5E99"/>
    <w:rsid w:val="00DC6627"/>
    <w:rsid w:val="00DD040C"/>
    <w:rsid w:val="00DD4879"/>
    <w:rsid w:val="00DD6767"/>
    <w:rsid w:val="00DE00E6"/>
    <w:rsid w:val="00DE1BF2"/>
    <w:rsid w:val="00DE2545"/>
    <w:rsid w:val="00DE2D68"/>
    <w:rsid w:val="00DE36AE"/>
    <w:rsid w:val="00DE550E"/>
    <w:rsid w:val="00DE5A01"/>
    <w:rsid w:val="00DF74C0"/>
    <w:rsid w:val="00DF74FB"/>
    <w:rsid w:val="00E11301"/>
    <w:rsid w:val="00E13414"/>
    <w:rsid w:val="00E1693F"/>
    <w:rsid w:val="00E16C0C"/>
    <w:rsid w:val="00E17461"/>
    <w:rsid w:val="00E26648"/>
    <w:rsid w:val="00E2705D"/>
    <w:rsid w:val="00E342A8"/>
    <w:rsid w:val="00E34DFF"/>
    <w:rsid w:val="00E355AA"/>
    <w:rsid w:val="00E36844"/>
    <w:rsid w:val="00E37DA1"/>
    <w:rsid w:val="00E4328E"/>
    <w:rsid w:val="00E46DD4"/>
    <w:rsid w:val="00E50EEC"/>
    <w:rsid w:val="00E53AFF"/>
    <w:rsid w:val="00E55FBE"/>
    <w:rsid w:val="00E56026"/>
    <w:rsid w:val="00E560AD"/>
    <w:rsid w:val="00E5774E"/>
    <w:rsid w:val="00E605CF"/>
    <w:rsid w:val="00E61C16"/>
    <w:rsid w:val="00E6234B"/>
    <w:rsid w:val="00E653FE"/>
    <w:rsid w:val="00E65C37"/>
    <w:rsid w:val="00E66B96"/>
    <w:rsid w:val="00E66D77"/>
    <w:rsid w:val="00E67AC7"/>
    <w:rsid w:val="00E67C81"/>
    <w:rsid w:val="00E71616"/>
    <w:rsid w:val="00E735CB"/>
    <w:rsid w:val="00E743C4"/>
    <w:rsid w:val="00E85388"/>
    <w:rsid w:val="00E87936"/>
    <w:rsid w:val="00E879C5"/>
    <w:rsid w:val="00E87C91"/>
    <w:rsid w:val="00E90939"/>
    <w:rsid w:val="00E916C8"/>
    <w:rsid w:val="00E9179E"/>
    <w:rsid w:val="00E9198A"/>
    <w:rsid w:val="00E93351"/>
    <w:rsid w:val="00E94998"/>
    <w:rsid w:val="00E95E12"/>
    <w:rsid w:val="00EA0C48"/>
    <w:rsid w:val="00EA0FD8"/>
    <w:rsid w:val="00EA1027"/>
    <w:rsid w:val="00EA19C4"/>
    <w:rsid w:val="00EA308A"/>
    <w:rsid w:val="00EA3411"/>
    <w:rsid w:val="00EA3CA0"/>
    <w:rsid w:val="00EB3BC3"/>
    <w:rsid w:val="00EB41A1"/>
    <w:rsid w:val="00EB4892"/>
    <w:rsid w:val="00EB7FC8"/>
    <w:rsid w:val="00EC33F7"/>
    <w:rsid w:val="00EC5CC2"/>
    <w:rsid w:val="00EC5DD4"/>
    <w:rsid w:val="00ED34AE"/>
    <w:rsid w:val="00ED47D3"/>
    <w:rsid w:val="00ED7951"/>
    <w:rsid w:val="00EE50A5"/>
    <w:rsid w:val="00EE5483"/>
    <w:rsid w:val="00EE5571"/>
    <w:rsid w:val="00EF064C"/>
    <w:rsid w:val="00EF1CAE"/>
    <w:rsid w:val="00EF3094"/>
    <w:rsid w:val="00EF587B"/>
    <w:rsid w:val="00EF79ED"/>
    <w:rsid w:val="00F00E23"/>
    <w:rsid w:val="00F04E95"/>
    <w:rsid w:val="00F0692D"/>
    <w:rsid w:val="00F07766"/>
    <w:rsid w:val="00F15054"/>
    <w:rsid w:val="00F15D48"/>
    <w:rsid w:val="00F16905"/>
    <w:rsid w:val="00F2154A"/>
    <w:rsid w:val="00F24401"/>
    <w:rsid w:val="00F2538D"/>
    <w:rsid w:val="00F26DBA"/>
    <w:rsid w:val="00F30167"/>
    <w:rsid w:val="00F35E0A"/>
    <w:rsid w:val="00F4010E"/>
    <w:rsid w:val="00F42AAF"/>
    <w:rsid w:val="00F43B1D"/>
    <w:rsid w:val="00F46D6D"/>
    <w:rsid w:val="00F524EB"/>
    <w:rsid w:val="00F528AB"/>
    <w:rsid w:val="00F56F86"/>
    <w:rsid w:val="00F619AA"/>
    <w:rsid w:val="00F71E12"/>
    <w:rsid w:val="00F72158"/>
    <w:rsid w:val="00F7372C"/>
    <w:rsid w:val="00F73A6E"/>
    <w:rsid w:val="00F74706"/>
    <w:rsid w:val="00F75B0F"/>
    <w:rsid w:val="00F76D77"/>
    <w:rsid w:val="00F773E7"/>
    <w:rsid w:val="00F828D1"/>
    <w:rsid w:val="00F902A4"/>
    <w:rsid w:val="00F909A7"/>
    <w:rsid w:val="00F91160"/>
    <w:rsid w:val="00F917EE"/>
    <w:rsid w:val="00F93931"/>
    <w:rsid w:val="00F976DC"/>
    <w:rsid w:val="00FA54CF"/>
    <w:rsid w:val="00FA70F3"/>
    <w:rsid w:val="00FB2B6E"/>
    <w:rsid w:val="00FB4A56"/>
    <w:rsid w:val="00FB638C"/>
    <w:rsid w:val="00FB661E"/>
    <w:rsid w:val="00FB7926"/>
    <w:rsid w:val="00FC3203"/>
    <w:rsid w:val="00FC3933"/>
    <w:rsid w:val="00FC4AE6"/>
    <w:rsid w:val="00FC4C22"/>
    <w:rsid w:val="00FC5156"/>
    <w:rsid w:val="00FC7296"/>
    <w:rsid w:val="00FD2F04"/>
    <w:rsid w:val="00FD4677"/>
    <w:rsid w:val="00FD54DC"/>
    <w:rsid w:val="00FD5D18"/>
    <w:rsid w:val="00FD678C"/>
    <w:rsid w:val="00FE05CA"/>
    <w:rsid w:val="00FE1461"/>
    <w:rsid w:val="00FE1A47"/>
    <w:rsid w:val="00FE5A4B"/>
    <w:rsid w:val="00FF2E95"/>
    <w:rsid w:val="00FF3599"/>
    <w:rsid w:val="00FF4045"/>
    <w:rsid w:val="00FF6D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A4D74"/>
  <w15:chartTrackingRefBased/>
  <w15:docId w15:val="{C15CD4FA-AE7D-6C4D-87D3-01860AF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746"/>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046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211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7C7EB9"/>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7EB9"/>
    <w:rPr>
      <w:sz w:val="16"/>
      <w:szCs w:val="16"/>
    </w:rPr>
  </w:style>
  <w:style w:type="paragraph" w:styleId="CommentText">
    <w:name w:val="annotation text"/>
    <w:basedOn w:val="Normal"/>
    <w:link w:val="CommentTextChar"/>
    <w:uiPriority w:val="99"/>
    <w:semiHidden/>
    <w:unhideWhenUsed/>
    <w:rsid w:val="007C7EB9"/>
    <w:rPr>
      <w:sz w:val="20"/>
      <w:szCs w:val="20"/>
    </w:rPr>
  </w:style>
  <w:style w:type="character" w:customStyle="1" w:styleId="CommentTextChar">
    <w:name w:val="Comment Text Char"/>
    <w:basedOn w:val="DefaultParagraphFont"/>
    <w:link w:val="CommentText"/>
    <w:uiPriority w:val="99"/>
    <w:semiHidden/>
    <w:rsid w:val="007C7EB9"/>
    <w:rPr>
      <w:rFonts w:ascii="Calibri" w:hAnsi="Calibri" w:cs="Calibri"/>
      <w:sz w:val="20"/>
      <w:szCs w:val="20"/>
    </w:rPr>
  </w:style>
  <w:style w:type="paragraph" w:styleId="BalloonText">
    <w:name w:val="Balloon Text"/>
    <w:basedOn w:val="Normal"/>
    <w:link w:val="BalloonTextChar"/>
    <w:uiPriority w:val="99"/>
    <w:semiHidden/>
    <w:unhideWhenUsed/>
    <w:rsid w:val="007C7EB9"/>
    <w:rPr>
      <w:sz w:val="18"/>
      <w:szCs w:val="18"/>
    </w:rPr>
  </w:style>
  <w:style w:type="character" w:customStyle="1" w:styleId="BalloonTextChar">
    <w:name w:val="Balloon Text Char"/>
    <w:basedOn w:val="DefaultParagraphFont"/>
    <w:link w:val="BalloonText"/>
    <w:uiPriority w:val="99"/>
    <w:semiHidden/>
    <w:rsid w:val="007C7EB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C7EB9"/>
    <w:rPr>
      <w:b/>
      <w:bCs/>
    </w:rPr>
  </w:style>
  <w:style w:type="character" w:customStyle="1" w:styleId="CommentSubjectChar">
    <w:name w:val="Comment Subject Char"/>
    <w:basedOn w:val="CommentTextChar"/>
    <w:link w:val="CommentSubject"/>
    <w:uiPriority w:val="99"/>
    <w:semiHidden/>
    <w:rsid w:val="007C7EB9"/>
    <w:rPr>
      <w:rFonts w:ascii="Calibri" w:hAnsi="Calibri" w:cs="Calibri"/>
      <w:b/>
      <w:bCs/>
      <w:sz w:val="20"/>
      <w:szCs w:val="20"/>
    </w:rPr>
  </w:style>
  <w:style w:type="character" w:customStyle="1" w:styleId="Heading5Char">
    <w:name w:val="Heading 5 Char"/>
    <w:basedOn w:val="DefaultParagraphFont"/>
    <w:link w:val="Heading5"/>
    <w:uiPriority w:val="9"/>
    <w:rsid w:val="007C7EB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C7EB9"/>
    <w:rPr>
      <w:color w:val="0000FF"/>
      <w:u w:val="single"/>
    </w:rPr>
  </w:style>
  <w:style w:type="character" w:customStyle="1" w:styleId="UnresolvedMention1">
    <w:name w:val="Unresolved Mention1"/>
    <w:basedOn w:val="DefaultParagraphFont"/>
    <w:uiPriority w:val="99"/>
    <w:semiHidden/>
    <w:unhideWhenUsed/>
    <w:rsid w:val="0080789B"/>
    <w:rPr>
      <w:color w:val="605E5C"/>
      <w:shd w:val="clear" w:color="auto" w:fill="E1DFDD"/>
    </w:rPr>
  </w:style>
  <w:style w:type="character" w:styleId="FollowedHyperlink">
    <w:name w:val="FollowedHyperlink"/>
    <w:basedOn w:val="DefaultParagraphFont"/>
    <w:uiPriority w:val="99"/>
    <w:semiHidden/>
    <w:unhideWhenUsed/>
    <w:rsid w:val="0080789B"/>
    <w:rPr>
      <w:color w:val="954F72" w:themeColor="followedHyperlink"/>
      <w:u w:val="single"/>
    </w:rPr>
  </w:style>
  <w:style w:type="character" w:customStyle="1" w:styleId="Heading4Char">
    <w:name w:val="Heading 4 Char"/>
    <w:basedOn w:val="DefaultParagraphFont"/>
    <w:link w:val="Heading4"/>
    <w:uiPriority w:val="9"/>
    <w:semiHidden/>
    <w:rsid w:val="00D211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56CC7"/>
    <w:pPr>
      <w:ind w:left="720"/>
      <w:contextualSpacing/>
    </w:pPr>
  </w:style>
  <w:style w:type="paragraph" w:styleId="Header">
    <w:name w:val="header"/>
    <w:basedOn w:val="Normal"/>
    <w:link w:val="HeaderChar"/>
    <w:uiPriority w:val="99"/>
    <w:unhideWhenUsed/>
    <w:rsid w:val="00A75F8C"/>
    <w:pPr>
      <w:tabs>
        <w:tab w:val="center" w:pos="4680"/>
        <w:tab w:val="right" w:pos="9360"/>
      </w:tabs>
    </w:pPr>
  </w:style>
  <w:style w:type="character" w:customStyle="1" w:styleId="HeaderChar">
    <w:name w:val="Header Char"/>
    <w:basedOn w:val="DefaultParagraphFont"/>
    <w:link w:val="Header"/>
    <w:uiPriority w:val="99"/>
    <w:rsid w:val="00A75F8C"/>
    <w:rPr>
      <w:rFonts w:ascii="Times New Roman" w:eastAsia="Times New Roman" w:hAnsi="Times New Roman" w:cs="Times New Roman"/>
    </w:rPr>
  </w:style>
  <w:style w:type="character" w:styleId="PageNumber">
    <w:name w:val="page number"/>
    <w:basedOn w:val="DefaultParagraphFont"/>
    <w:uiPriority w:val="99"/>
    <w:semiHidden/>
    <w:unhideWhenUsed/>
    <w:rsid w:val="00A75F8C"/>
  </w:style>
  <w:style w:type="character" w:styleId="LineNumber">
    <w:name w:val="line number"/>
    <w:basedOn w:val="DefaultParagraphFont"/>
    <w:uiPriority w:val="99"/>
    <w:semiHidden/>
    <w:unhideWhenUsed/>
    <w:rsid w:val="00A75F8C"/>
  </w:style>
  <w:style w:type="table" w:styleId="TableGrid">
    <w:name w:val="Table Grid"/>
    <w:basedOn w:val="TableNormal"/>
    <w:uiPriority w:val="39"/>
    <w:rsid w:val="0038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046C0"/>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9718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8371">
      <w:bodyDiv w:val="1"/>
      <w:marLeft w:val="0"/>
      <w:marRight w:val="0"/>
      <w:marTop w:val="0"/>
      <w:marBottom w:val="0"/>
      <w:divBdr>
        <w:top w:val="none" w:sz="0" w:space="0" w:color="auto"/>
        <w:left w:val="none" w:sz="0" w:space="0" w:color="auto"/>
        <w:bottom w:val="none" w:sz="0" w:space="0" w:color="auto"/>
        <w:right w:val="none" w:sz="0" w:space="0" w:color="auto"/>
      </w:divBdr>
    </w:div>
    <w:div w:id="30569188">
      <w:bodyDiv w:val="1"/>
      <w:marLeft w:val="0"/>
      <w:marRight w:val="0"/>
      <w:marTop w:val="0"/>
      <w:marBottom w:val="0"/>
      <w:divBdr>
        <w:top w:val="none" w:sz="0" w:space="0" w:color="auto"/>
        <w:left w:val="none" w:sz="0" w:space="0" w:color="auto"/>
        <w:bottom w:val="none" w:sz="0" w:space="0" w:color="auto"/>
        <w:right w:val="none" w:sz="0" w:space="0" w:color="auto"/>
      </w:divBdr>
    </w:div>
    <w:div w:id="91970965">
      <w:bodyDiv w:val="1"/>
      <w:marLeft w:val="0"/>
      <w:marRight w:val="0"/>
      <w:marTop w:val="0"/>
      <w:marBottom w:val="0"/>
      <w:divBdr>
        <w:top w:val="none" w:sz="0" w:space="0" w:color="auto"/>
        <w:left w:val="none" w:sz="0" w:space="0" w:color="auto"/>
        <w:bottom w:val="none" w:sz="0" w:space="0" w:color="auto"/>
        <w:right w:val="none" w:sz="0" w:space="0" w:color="auto"/>
      </w:divBdr>
    </w:div>
    <w:div w:id="147407014">
      <w:bodyDiv w:val="1"/>
      <w:marLeft w:val="0"/>
      <w:marRight w:val="0"/>
      <w:marTop w:val="0"/>
      <w:marBottom w:val="0"/>
      <w:divBdr>
        <w:top w:val="none" w:sz="0" w:space="0" w:color="auto"/>
        <w:left w:val="none" w:sz="0" w:space="0" w:color="auto"/>
        <w:bottom w:val="none" w:sz="0" w:space="0" w:color="auto"/>
        <w:right w:val="none" w:sz="0" w:space="0" w:color="auto"/>
      </w:divBdr>
    </w:div>
    <w:div w:id="149713390">
      <w:bodyDiv w:val="1"/>
      <w:marLeft w:val="0"/>
      <w:marRight w:val="0"/>
      <w:marTop w:val="0"/>
      <w:marBottom w:val="0"/>
      <w:divBdr>
        <w:top w:val="none" w:sz="0" w:space="0" w:color="auto"/>
        <w:left w:val="none" w:sz="0" w:space="0" w:color="auto"/>
        <w:bottom w:val="none" w:sz="0" w:space="0" w:color="auto"/>
        <w:right w:val="none" w:sz="0" w:space="0" w:color="auto"/>
      </w:divBdr>
    </w:div>
    <w:div w:id="174610429">
      <w:bodyDiv w:val="1"/>
      <w:marLeft w:val="0"/>
      <w:marRight w:val="0"/>
      <w:marTop w:val="0"/>
      <w:marBottom w:val="0"/>
      <w:divBdr>
        <w:top w:val="none" w:sz="0" w:space="0" w:color="auto"/>
        <w:left w:val="none" w:sz="0" w:space="0" w:color="auto"/>
        <w:bottom w:val="none" w:sz="0" w:space="0" w:color="auto"/>
        <w:right w:val="none" w:sz="0" w:space="0" w:color="auto"/>
      </w:divBdr>
    </w:div>
    <w:div w:id="269972780">
      <w:bodyDiv w:val="1"/>
      <w:marLeft w:val="0"/>
      <w:marRight w:val="0"/>
      <w:marTop w:val="0"/>
      <w:marBottom w:val="0"/>
      <w:divBdr>
        <w:top w:val="none" w:sz="0" w:space="0" w:color="auto"/>
        <w:left w:val="none" w:sz="0" w:space="0" w:color="auto"/>
        <w:bottom w:val="none" w:sz="0" w:space="0" w:color="auto"/>
        <w:right w:val="none" w:sz="0" w:space="0" w:color="auto"/>
      </w:divBdr>
    </w:div>
    <w:div w:id="328755298">
      <w:bodyDiv w:val="1"/>
      <w:marLeft w:val="0"/>
      <w:marRight w:val="0"/>
      <w:marTop w:val="0"/>
      <w:marBottom w:val="0"/>
      <w:divBdr>
        <w:top w:val="none" w:sz="0" w:space="0" w:color="auto"/>
        <w:left w:val="none" w:sz="0" w:space="0" w:color="auto"/>
        <w:bottom w:val="none" w:sz="0" w:space="0" w:color="auto"/>
        <w:right w:val="none" w:sz="0" w:space="0" w:color="auto"/>
      </w:divBdr>
    </w:div>
    <w:div w:id="344552178">
      <w:bodyDiv w:val="1"/>
      <w:marLeft w:val="0"/>
      <w:marRight w:val="0"/>
      <w:marTop w:val="0"/>
      <w:marBottom w:val="0"/>
      <w:divBdr>
        <w:top w:val="none" w:sz="0" w:space="0" w:color="auto"/>
        <w:left w:val="none" w:sz="0" w:space="0" w:color="auto"/>
        <w:bottom w:val="none" w:sz="0" w:space="0" w:color="auto"/>
        <w:right w:val="none" w:sz="0" w:space="0" w:color="auto"/>
      </w:divBdr>
    </w:div>
    <w:div w:id="387533073">
      <w:bodyDiv w:val="1"/>
      <w:marLeft w:val="0"/>
      <w:marRight w:val="0"/>
      <w:marTop w:val="0"/>
      <w:marBottom w:val="0"/>
      <w:divBdr>
        <w:top w:val="none" w:sz="0" w:space="0" w:color="auto"/>
        <w:left w:val="none" w:sz="0" w:space="0" w:color="auto"/>
        <w:bottom w:val="none" w:sz="0" w:space="0" w:color="auto"/>
        <w:right w:val="none" w:sz="0" w:space="0" w:color="auto"/>
      </w:divBdr>
    </w:div>
    <w:div w:id="540485658">
      <w:bodyDiv w:val="1"/>
      <w:marLeft w:val="0"/>
      <w:marRight w:val="0"/>
      <w:marTop w:val="0"/>
      <w:marBottom w:val="0"/>
      <w:divBdr>
        <w:top w:val="none" w:sz="0" w:space="0" w:color="auto"/>
        <w:left w:val="none" w:sz="0" w:space="0" w:color="auto"/>
        <w:bottom w:val="none" w:sz="0" w:space="0" w:color="auto"/>
        <w:right w:val="none" w:sz="0" w:space="0" w:color="auto"/>
      </w:divBdr>
    </w:div>
    <w:div w:id="643505085">
      <w:bodyDiv w:val="1"/>
      <w:marLeft w:val="0"/>
      <w:marRight w:val="0"/>
      <w:marTop w:val="0"/>
      <w:marBottom w:val="0"/>
      <w:divBdr>
        <w:top w:val="none" w:sz="0" w:space="0" w:color="auto"/>
        <w:left w:val="none" w:sz="0" w:space="0" w:color="auto"/>
        <w:bottom w:val="none" w:sz="0" w:space="0" w:color="auto"/>
        <w:right w:val="none" w:sz="0" w:space="0" w:color="auto"/>
      </w:divBdr>
    </w:div>
    <w:div w:id="747774369">
      <w:bodyDiv w:val="1"/>
      <w:marLeft w:val="0"/>
      <w:marRight w:val="0"/>
      <w:marTop w:val="0"/>
      <w:marBottom w:val="0"/>
      <w:divBdr>
        <w:top w:val="none" w:sz="0" w:space="0" w:color="auto"/>
        <w:left w:val="none" w:sz="0" w:space="0" w:color="auto"/>
        <w:bottom w:val="none" w:sz="0" w:space="0" w:color="auto"/>
        <w:right w:val="none" w:sz="0" w:space="0" w:color="auto"/>
      </w:divBdr>
    </w:div>
    <w:div w:id="766996524">
      <w:bodyDiv w:val="1"/>
      <w:marLeft w:val="0"/>
      <w:marRight w:val="0"/>
      <w:marTop w:val="0"/>
      <w:marBottom w:val="0"/>
      <w:divBdr>
        <w:top w:val="none" w:sz="0" w:space="0" w:color="auto"/>
        <w:left w:val="none" w:sz="0" w:space="0" w:color="auto"/>
        <w:bottom w:val="none" w:sz="0" w:space="0" w:color="auto"/>
        <w:right w:val="none" w:sz="0" w:space="0" w:color="auto"/>
      </w:divBdr>
    </w:div>
    <w:div w:id="866330596">
      <w:bodyDiv w:val="1"/>
      <w:marLeft w:val="0"/>
      <w:marRight w:val="0"/>
      <w:marTop w:val="0"/>
      <w:marBottom w:val="0"/>
      <w:divBdr>
        <w:top w:val="none" w:sz="0" w:space="0" w:color="auto"/>
        <w:left w:val="none" w:sz="0" w:space="0" w:color="auto"/>
        <w:bottom w:val="none" w:sz="0" w:space="0" w:color="auto"/>
        <w:right w:val="none" w:sz="0" w:space="0" w:color="auto"/>
      </w:divBdr>
    </w:div>
    <w:div w:id="896669439">
      <w:bodyDiv w:val="1"/>
      <w:marLeft w:val="0"/>
      <w:marRight w:val="0"/>
      <w:marTop w:val="0"/>
      <w:marBottom w:val="0"/>
      <w:divBdr>
        <w:top w:val="none" w:sz="0" w:space="0" w:color="auto"/>
        <w:left w:val="none" w:sz="0" w:space="0" w:color="auto"/>
        <w:bottom w:val="none" w:sz="0" w:space="0" w:color="auto"/>
        <w:right w:val="none" w:sz="0" w:space="0" w:color="auto"/>
      </w:divBdr>
    </w:div>
    <w:div w:id="917322846">
      <w:bodyDiv w:val="1"/>
      <w:marLeft w:val="0"/>
      <w:marRight w:val="0"/>
      <w:marTop w:val="0"/>
      <w:marBottom w:val="0"/>
      <w:divBdr>
        <w:top w:val="none" w:sz="0" w:space="0" w:color="auto"/>
        <w:left w:val="none" w:sz="0" w:space="0" w:color="auto"/>
        <w:bottom w:val="none" w:sz="0" w:space="0" w:color="auto"/>
        <w:right w:val="none" w:sz="0" w:space="0" w:color="auto"/>
      </w:divBdr>
    </w:div>
    <w:div w:id="1181041740">
      <w:bodyDiv w:val="1"/>
      <w:marLeft w:val="0"/>
      <w:marRight w:val="0"/>
      <w:marTop w:val="0"/>
      <w:marBottom w:val="0"/>
      <w:divBdr>
        <w:top w:val="none" w:sz="0" w:space="0" w:color="auto"/>
        <w:left w:val="none" w:sz="0" w:space="0" w:color="auto"/>
        <w:bottom w:val="none" w:sz="0" w:space="0" w:color="auto"/>
        <w:right w:val="none" w:sz="0" w:space="0" w:color="auto"/>
      </w:divBdr>
    </w:div>
    <w:div w:id="1205361641">
      <w:bodyDiv w:val="1"/>
      <w:marLeft w:val="0"/>
      <w:marRight w:val="0"/>
      <w:marTop w:val="0"/>
      <w:marBottom w:val="0"/>
      <w:divBdr>
        <w:top w:val="none" w:sz="0" w:space="0" w:color="auto"/>
        <w:left w:val="none" w:sz="0" w:space="0" w:color="auto"/>
        <w:bottom w:val="none" w:sz="0" w:space="0" w:color="auto"/>
        <w:right w:val="none" w:sz="0" w:space="0" w:color="auto"/>
      </w:divBdr>
    </w:div>
    <w:div w:id="1364135191">
      <w:bodyDiv w:val="1"/>
      <w:marLeft w:val="0"/>
      <w:marRight w:val="0"/>
      <w:marTop w:val="0"/>
      <w:marBottom w:val="0"/>
      <w:divBdr>
        <w:top w:val="none" w:sz="0" w:space="0" w:color="auto"/>
        <w:left w:val="none" w:sz="0" w:space="0" w:color="auto"/>
        <w:bottom w:val="none" w:sz="0" w:space="0" w:color="auto"/>
        <w:right w:val="none" w:sz="0" w:space="0" w:color="auto"/>
      </w:divBdr>
    </w:div>
    <w:div w:id="1371342052">
      <w:bodyDiv w:val="1"/>
      <w:marLeft w:val="0"/>
      <w:marRight w:val="0"/>
      <w:marTop w:val="0"/>
      <w:marBottom w:val="0"/>
      <w:divBdr>
        <w:top w:val="none" w:sz="0" w:space="0" w:color="auto"/>
        <w:left w:val="none" w:sz="0" w:space="0" w:color="auto"/>
        <w:bottom w:val="none" w:sz="0" w:space="0" w:color="auto"/>
        <w:right w:val="none" w:sz="0" w:space="0" w:color="auto"/>
      </w:divBdr>
    </w:div>
    <w:div w:id="1663312807">
      <w:bodyDiv w:val="1"/>
      <w:marLeft w:val="0"/>
      <w:marRight w:val="0"/>
      <w:marTop w:val="0"/>
      <w:marBottom w:val="0"/>
      <w:divBdr>
        <w:top w:val="none" w:sz="0" w:space="0" w:color="auto"/>
        <w:left w:val="none" w:sz="0" w:space="0" w:color="auto"/>
        <w:bottom w:val="none" w:sz="0" w:space="0" w:color="auto"/>
        <w:right w:val="none" w:sz="0" w:space="0" w:color="auto"/>
      </w:divBdr>
    </w:div>
    <w:div w:id="1750150424">
      <w:bodyDiv w:val="1"/>
      <w:marLeft w:val="0"/>
      <w:marRight w:val="0"/>
      <w:marTop w:val="0"/>
      <w:marBottom w:val="0"/>
      <w:divBdr>
        <w:top w:val="none" w:sz="0" w:space="0" w:color="auto"/>
        <w:left w:val="none" w:sz="0" w:space="0" w:color="auto"/>
        <w:bottom w:val="none" w:sz="0" w:space="0" w:color="auto"/>
        <w:right w:val="none" w:sz="0" w:space="0" w:color="auto"/>
      </w:divBdr>
    </w:div>
    <w:div w:id="1835753936">
      <w:bodyDiv w:val="1"/>
      <w:marLeft w:val="0"/>
      <w:marRight w:val="0"/>
      <w:marTop w:val="0"/>
      <w:marBottom w:val="0"/>
      <w:divBdr>
        <w:top w:val="none" w:sz="0" w:space="0" w:color="auto"/>
        <w:left w:val="none" w:sz="0" w:space="0" w:color="auto"/>
        <w:bottom w:val="none" w:sz="0" w:space="0" w:color="auto"/>
        <w:right w:val="none" w:sz="0" w:space="0" w:color="auto"/>
      </w:divBdr>
    </w:div>
    <w:div w:id="1857578458">
      <w:bodyDiv w:val="1"/>
      <w:marLeft w:val="0"/>
      <w:marRight w:val="0"/>
      <w:marTop w:val="0"/>
      <w:marBottom w:val="0"/>
      <w:divBdr>
        <w:top w:val="none" w:sz="0" w:space="0" w:color="auto"/>
        <w:left w:val="none" w:sz="0" w:space="0" w:color="auto"/>
        <w:bottom w:val="none" w:sz="0" w:space="0" w:color="auto"/>
        <w:right w:val="none" w:sz="0" w:space="0" w:color="auto"/>
      </w:divBdr>
    </w:div>
    <w:div w:id="2077245635">
      <w:bodyDiv w:val="1"/>
      <w:marLeft w:val="0"/>
      <w:marRight w:val="0"/>
      <w:marTop w:val="0"/>
      <w:marBottom w:val="0"/>
      <w:divBdr>
        <w:top w:val="none" w:sz="0" w:space="0" w:color="auto"/>
        <w:left w:val="none" w:sz="0" w:space="0" w:color="auto"/>
        <w:bottom w:val="none" w:sz="0" w:space="0" w:color="auto"/>
        <w:right w:val="none" w:sz="0" w:space="0" w:color="auto"/>
      </w:divBdr>
    </w:div>
    <w:div w:id="2135371091">
      <w:bodyDiv w:val="1"/>
      <w:marLeft w:val="0"/>
      <w:marRight w:val="0"/>
      <w:marTop w:val="0"/>
      <w:marBottom w:val="0"/>
      <w:divBdr>
        <w:top w:val="none" w:sz="0" w:space="0" w:color="auto"/>
        <w:left w:val="none" w:sz="0" w:space="0" w:color="auto"/>
        <w:bottom w:val="none" w:sz="0" w:space="0" w:color="auto"/>
        <w:right w:val="none" w:sz="0" w:space="0" w:color="auto"/>
      </w:divBdr>
    </w:div>
    <w:div w:id="2135513710">
      <w:bodyDiv w:val="1"/>
      <w:marLeft w:val="0"/>
      <w:marRight w:val="0"/>
      <w:marTop w:val="0"/>
      <w:marBottom w:val="0"/>
      <w:divBdr>
        <w:top w:val="none" w:sz="0" w:space="0" w:color="auto"/>
        <w:left w:val="none" w:sz="0" w:space="0" w:color="auto"/>
        <w:bottom w:val="none" w:sz="0" w:space="0" w:color="auto"/>
        <w:right w:val="none" w:sz="0" w:space="0" w:color="auto"/>
      </w:divBdr>
    </w:div>
    <w:div w:id="21472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996D-7C7F-B344-8DE2-FA00CEC6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52680</Words>
  <Characters>300281</Characters>
  <Application>Microsoft Office Word</Application>
  <DocSecurity>0</DocSecurity>
  <Lines>2502</Lines>
  <Paragraphs>704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Kim</dc:creator>
  <cp:keywords/>
  <dc:description/>
  <cp:lastModifiedBy>Yun Kim</cp:lastModifiedBy>
  <cp:revision>39</cp:revision>
  <dcterms:created xsi:type="dcterms:W3CDTF">2020-06-12T14:23:00Z</dcterms:created>
  <dcterms:modified xsi:type="dcterms:W3CDTF">2020-06-16T20:43:00Z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http://www.zotero.org/styles/journal-of-neurochemistry</vt:lpwstr>
  </property>
  <property fmtid="{D5CDD505-2E9C-101B-9397-08002B2CF9AE}" pid="15" name="Mendeley Recent Style Name 6_1">
    <vt:lpwstr>Journal of Neurochemistry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http://www.zotero.org/styles/molecular-aspects-of-medicine</vt:lpwstr>
  </property>
  <property fmtid="{D5CDD505-2E9C-101B-9397-08002B2CF9AE}" pid="19" name="Mendeley Recent Style Name 8_1">
    <vt:lpwstr>Molecular Aspects of Medicine</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http://www.zotero.org/styles/journal-of-neurochemistry</vt:lpwstr>
  </property>
  <property fmtid="{D5CDD505-2E9C-101B-9397-08002B2CF9AE}" pid="24" name="Mendeley Unique User Id_1">
    <vt:lpwstr>671f1aa7-7341-3346-9af3-0cc1c8254da6</vt:lpwstr>
  </property>
</Properties>
</file>