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79295" w14:textId="77777777" w:rsidR="00572275" w:rsidRPr="00FA50BE" w:rsidRDefault="00572275" w:rsidP="00572275">
      <w:pPr>
        <w:rPr>
          <w:rFonts w:ascii="Times New Roman" w:hAnsi="Times New Roman" w:cs="Times New Roman"/>
        </w:rPr>
      </w:pPr>
    </w:p>
    <w:p w14:paraId="0D0F1CD9" w14:textId="77777777" w:rsidR="00572275" w:rsidRPr="00FA50BE" w:rsidRDefault="00572275" w:rsidP="00572275">
      <w:pPr>
        <w:jc w:val="center"/>
        <w:rPr>
          <w:rFonts w:ascii="Times New Roman" w:hAnsi="Times New Roman" w:cs="Times New Roman"/>
          <w:b/>
        </w:rPr>
      </w:pPr>
      <w:r w:rsidRPr="00FA50BE">
        <w:rPr>
          <w:rFonts w:ascii="Times New Roman" w:hAnsi="Times New Roman" w:cs="Times New Roman"/>
          <w:b/>
        </w:rPr>
        <w:t>Parent-focused sexual abuse prevention: Results from a cluster randomized trial</w:t>
      </w:r>
    </w:p>
    <w:p w14:paraId="17D26596" w14:textId="77777777" w:rsidR="00572275" w:rsidRPr="00FA50BE" w:rsidRDefault="00572275" w:rsidP="00572275">
      <w:pPr>
        <w:jc w:val="center"/>
        <w:rPr>
          <w:rFonts w:ascii="Times New Roman" w:hAnsi="Times New Roman" w:cs="Times New Roman"/>
        </w:rPr>
      </w:pPr>
    </w:p>
    <w:p w14:paraId="7D8FDA2B" w14:textId="77777777" w:rsidR="00572275" w:rsidRPr="00FA50BE" w:rsidRDefault="00572275" w:rsidP="00572275">
      <w:pPr>
        <w:jc w:val="center"/>
        <w:rPr>
          <w:rFonts w:ascii="Times New Roman" w:hAnsi="Times New Roman" w:cs="Times New Roman"/>
        </w:rPr>
      </w:pPr>
      <w:r w:rsidRPr="00FA50BE">
        <w:rPr>
          <w:rFonts w:ascii="Times New Roman" w:hAnsi="Times New Roman" w:cs="Times New Roman"/>
        </w:rPr>
        <w:t xml:space="preserve">Kate Guastaferro, John M. Felt, Sarah A. Font, Christian M. Connell, Sheridan Miyamoto, Kathleen M. </w:t>
      </w:r>
      <w:proofErr w:type="spellStart"/>
      <w:r w:rsidRPr="00FA50BE">
        <w:rPr>
          <w:rFonts w:ascii="Times New Roman" w:hAnsi="Times New Roman" w:cs="Times New Roman"/>
        </w:rPr>
        <w:t>Zadzora</w:t>
      </w:r>
      <w:proofErr w:type="spellEnd"/>
      <w:r w:rsidRPr="00FA50BE">
        <w:rPr>
          <w:rFonts w:ascii="Times New Roman" w:hAnsi="Times New Roman" w:cs="Times New Roman"/>
        </w:rPr>
        <w:t>, &amp; Jennie G. Noll</w:t>
      </w:r>
    </w:p>
    <w:p w14:paraId="12B1AA0C" w14:textId="77777777" w:rsidR="00572275" w:rsidRPr="00FA50BE" w:rsidRDefault="00572275" w:rsidP="00572275">
      <w:pPr>
        <w:jc w:val="center"/>
        <w:rPr>
          <w:rFonts w:ascii="Times New Roman" w:hAnsi="Times New Roman" w:cs="Times New Roman"/>
        </w:rPr>
      </w:pPr>
      <w:r w:rsidRPr="00FA50BE">
        <w:rPr>
          <w:rFonts w:ascii="Times New Roman" w:hAnsi="Times New Roman" w:cs="Times New Roman"/>
          <w:i/>
        </w:rPr>
        <w:t xml:space="preserve">The Pennsylvania State University </w:t>
      </w:r>
    </w:p>
    <w:p w14:paraId="44D53CBD" w14:textId="77777777" w:rsidR="00572275" w:rsidRPr="00FA50BE" w:rsidRDefault="00572275" w:rsidP="00572275">
      <w:pPr>
        <w:jc w:val="center"/>
        <w:rPr>
          <w:rFonts w:ascii="Times New Roman" w:hAnsi="Times New Roman" w:cs="Times New Roman"/>
        </w:rPr>
      </w:pPr>
    </w:p>
    <w:p w14:paraId="43880935" w14:textId="1810359C" w:rsidR="00162CDF" w:rsidRDefault="00572275" w:rsidP="00572275">
      <w:pPr>
        <w:rPr>
          <w:rFonts w:ascii="Times New Roman" w:hAnsi="Times New Roman" w:cs="Times New Roman"/>
          <w:sz w:val="24"/>
        </w:rPr>
      </w:pPr>
      <w:r w:rsidRPr="00FA50BE">
        <w:rPr>
          <w:rFonts w:ascii="Times New Roman" w:hAnsi="Times New Roman" w:cs="Times New Roman"/>
          <w:sz w:val="24"/>
        </w:rPr>
        <w:t>This project was supported in part by The Pennsylvania State University Social Science Research Institute, the Eunice Kennedy Shriver National Institute on Child Health and Human Development through award P50 HD089922, the National Center for Advancing Translational Sciences through grant UL1 TR002014 and UL1 TR00045, and the National Institute on Drug Abuse through grants P50 DA039838 and T32 DA017629. The content is solely the responsibility of the authors and does not necessarily represent the official views of the NIH.</w:t>
      </w:r>
    </w:p>
    <w:p w14:paraId="40E55B38" w14:textId="77777777" w:rsidR="00162CDF" w:rsidRDefault="00162CDF">
      <w:pPr>
        <w:rPr>
          <w:rFonts w:ascii="Times New Roman" w:hAnsi="Times New Roman" w:cs="Times New Roman"/>
          <w:sz w:val="24"/>
        </w:rPr>
      </w:pPr>
      <w:r>
        <w:rPr>
          <w:rFonts w:ascii="Times New Roman" w:hAnsi="Times New Roman" w:cs="Times New Roman"/>
          <w:sz w:val="24"/>
        </w:rPr>
        <w:br w:type="page"/>
      </w:r>
    </w:p>
    <w:p w14:paraId="39E93A00" w14:textId="77777777" w:rsidR="00162CDF" w:rsidRPr="00FA50BE" w:rsidRDefault="00162CDF" w:rsidP="00162CDF">
      <w:pPr>
        <w:jc w:val="center"/>
        <w:rPr>
          <w:rFonts w:ascii="Times New Roman" w:hAnsi="Times New Roman" w:cs="Times New Roman"/>
          <w:b/>
          <w:bCs/>
          <w:sz w:val="24"/>
          <w:szCs w:val="24"/>
        </w:rPr>
      </w:pPr>
      <w:r w:rsidRPr="00FA50BE">
        <w:rPr>
          <w:rFonts w:ascii="Times New Roman" w:hAnsi="Times New Roman" w:cs="Times New Roman"/>
          <w:b/>
          <w:bCs/>
          <w:sz w:val="24"/>
          <w:szCs w:val="24"/>
        </w:rPr>
        <w:lastRenderedPageBreak/>
        <w:t>Abstract</w:t>
      </w:r>
    </w:p>
    <w:p w14:paraId="4362F6DB" w14:textId="77777777" w:rsidR="00162CDF" w:rsidRPr="00FA50BE" w:rsidRDefault="00162CDF" w:rsidP="00162CDF">
      <w:pPr>
        <w:rPr>
          <w:rFonts w:ascii="Times New Roman" w:hAnsi="Times New Roman" w:cs="Times New Roman"/>
          <w:sz w:val="24"/>
          <w:szCs w:val="24"/>
        </w:rPr>
      </w:pPr>
      <w:r w:rsidRPr="00FA50BE">
        <w:rPr>
          <w:rFonts w:ascii="Times New Roman" w:hAnsi="Times New Roman" w:cs="Times New Roman"/>
          <w:sz w:val="24"/>
          <w:szCs w:val="24"/>
        </w:rPr>
        <w:t>This study tested whether child sexual abuse (CSA) prevention awareness and protective behaviors, Smart Parents–Safe and Healthy Kids (SPSHK), could be implemented as an additional module in evidence-based parent training. In addition, this study tested whether the added module might detract from the efficacy of the original training program. In a cluster randomized trial, six community-based organizations were randomized to deliver Parents as Teachers (PAT) with SPSHK (PAT+SPSHK) or PAT as usual (PAT-AU). CSA-related awareness, protective behaviors, and general parenting behaviors were assessed at baseline, post-PAT, post-SPSHK, and one-month follow-up. Multilevel analyses revealed significant group by time interactions for both awareness and behaviors (</w:t>
      </w:r>
      <w:proofErr w:type="spellStart"/>
      <w:r w:rsidRPr="00FA50BE">
        <w:rPr>
          <w:rFonts w:ascii="Times New Roman" w:hAnsi="Times New Roman" w:cs="Times New Roman"/>
          <w:i/>
          <w:iCs/>
          <w:sz w:val="24"/>
          <w:szCs w:val="24"/>
        </w:rPr>
        <w:t>ps</w:t>
      </w:r>
      <w:proofErr w:type="spellEnd"/>
      <w:r w:rsidRPr="00FA50BE">
        <w:rPr>
          <w:rFonts w:ascii="Times New Roman" w:hAnsi="Times New Roman" w:cs="Times New Roman"/>
          <w:i/>
          <w:iCs/>
          <w:sz w:val="24"/>
          <w:szCs w:val="24"/>
        </w:rPr>
        <w:t xml:space="preserve"> </w:t>
      </w:r>
      <w:r w:rsidRPr="00FA50BE">
        <w:rPr>
          <w:rFonts w:ascii="Times New Roman" w:hAnsi="Times New Roman" w:cs="Times New Roman"/>
          <w:sz w:val="24"/>
          <w:szCs w:val="24"/>
        </w:rPr>
        <w:t xml:space="preserve">&lt;.0001), indicating the PAT+SPSHK group had significantly greater awareness of CSA prevention, used protective behaviors more often (which were maintained at follow-up) as compared to the PAT-AU group.  No differences were observed in parenting behaviors suggesting that the addition of SPHSK did not interfere with PAT efficacy. Results indicate adding SPHSK to existing parent training can significantly enhance parents’ awareness of and readiness to engage in behavioral strategies to prevent CSA. Implementing SPHSK as a selective prevention strategy with at-risk parents who receive parent training through existing child welfare infrastructures is discussed. </w:t>
      </w:r>
    </w:p>
    <w:p w14:paraId="46A4F5C4" w14:textId="77777777" w:rsidR="00162CDF" w:rsidRPr="00FA50BE" w:rsidRDefault="00162CDF" w:rsidP="00162CDF">
      <w:pPr>
        <w:rPr>
          <w:rFonts w:ascii="Times New Roman" w:hAnsi="Times New Roman" w:cs="Times New Roman"/>
          <w:sz w:val="24"/>
          <w:szCs w:val="24"/>
        </w:rPr>
      </w:pPr>
    </w:p>
    <w:p w14:paraId="4175419C" w14:textId="77777777" w:rsidR="00162CDF" w:rsidRPr="00FA50BE" w:rsidRDefault="00162CDF" w:rsidP="00162CDF">
      <w:pPr>
        <w:rPr>
          <w:rFonts w:ascii="Times New Roman" w:hAnsi="Times New Roman" w:cs="Times New Roman"/>
          <w:sz w:val="24"/>
          <w:szCs w:val="24"/>
        </w:rPr>
      </w:pPr>
      <w:r w:rsidRPr="00FA50BE">
        <w:rPr>
          <w:rFonts w:ascii="Times New Roman" w:hAnsi="Times New Roman" w:cs="Times New Roman"/>
          <w:i/>
          <w:sz w:val="24"/>
          <w:szCs w:val="24"/>
        </w:rPr>
        <w:t>Keywords</w:t>
      </w:r>
      <w:r w:rsidRPr="00FA50BE">
        <w:rPr>
          <w:rFonts w:ascii="Times New Roman" w:hAnsi="Times New Roman" w:cs="Times New Roman"/>
          <w:sz w:val="24"/>
          <w:szCs w:val="24"/>
        </w:rPr>
        <w:t>: prevention, child sexual abuse, parenting, intervention science</w:t>
      </w:r>
    </w:p>
    <w:p w14:paraId="4A62DC9B" w14:textId="77777777" w:rsidR="00162CDF" w:rsidRDefault="00162CDF" w:rsidP="00162CDF"/>
    <w:p w14:paraId="56D3D7F2" w14:textId="77777777" w:rsidR="007D3D49" w:rsidRDefault="007D3D49" w:rsidP="00572275">
      <w:pPr>
        <w:rPr>
          <w:rFonts w:ascii="Times New Roman" w:hAnsi="Times New Roman" w:cs="Times New Roman"/>
          <w:sz w:val="24"/>
        </w:rPr>
      </w:pPr>
    </w:p>
    <w:p w14:paraId="1DCC7269" w14:textId="77777777" w:rsidR="007D3D49" w:rsidRDefault="007D3D49">
      <w:pPr>
        <w:rPr>
          <w:rFonts w:ascii="Times New Roman" w:hAnsi="Times New Roman" w:cs="Times New Roman"/>
          <w:sz w:val="24"/>
        </w:rPr>
      </w:pPr>
      <w:r>
        <w:rPr>
          <w:rFonts w:ascii="Times New Roman" w:hAnsi="Times New Roman" w:cs="Times New Roman"/>
          <w:sz w:val="24"/>
        </w:rPr>
        <w:br w:type="page"/>
      </w:r>
    </w:p>
    <w:p w14:paraId="1220C93D" w14:textId="77777777" w:rsidR="007D3D49" w:rsidRPr="00A51941" w:rsidRDefault="007D3D49" w:rsidP="007D3D49">
      <w:pPr>
        <w:spacing w:line="480" w:lineRule="auto"/>
        <w:jc w:val="center"/>
        <w:rPr>
          <w:rFonts w:ascii="Times New Roman" w:hAnsi="Times New Roman" w:cs="Times New Roman"/>
          <w:b/>
          <w:sz w:val="24"/>
          <w:szCs w:val="24"/>
        </w:rPr>
      </w:pPr>
      <w:r w:rsidRPr="00A51941">
        <w:rPr>
          <w:rFonts w:ascii="Times New Roman" w:hAnsi="Times New Roman" w:cs="Times New Roman"/>
          <w:b/>
          <w:sz w:val="24"/>
          <w:szCs w:val="24"/>
        </w:rPr>
        <w:lastRenderedPageBreak/>
        <w:t>Parent-focused sexual abuse prevention: Results from a cluster randomized trial</w:t>
      </w:r>
    </w:p>
    <w:p w14:paraId="0ED4D12D" w14:textId="77777777" w:rsidR="007D3D49" w:rsidRPr="00A51941" w:rsidRDefault="007D3D49" w:rsidP="007D3D49">
      <w:pPr>
        <w:spacing w:after="0" w:line="480" w:lineRule="auto"/>
        <w:ind w:firstLine="720"/>
        <w:rPr>
          <w:rFonts w:ascii="Times New Roman" w:hAnsi="Times New Roman" w:cs="Times New Roman"/>
          <w:sz w:val="24"/>
          <w:szCs w:val="24"/>
        </w:rPr>
      </w:pPr>
    </w:p>
    <w:p w14:paraId="15695EAD" w14:textId="77777777" w:rsidR="007D3D49" w:rsidRPr="00A51941" w:rsidRDefault="007D3D49" w:rsidP="007D3D49">
      <w:pPr>
        <w:spacing w:after="0" w:line="480" w:lineRule="auto"/>
        <w:ind w:firstLine="720"/>
        <w:rPr>
          <w:rFonts w:ascii="Times New Roman" w:hAnsi="Times New Roman" w:cs="Times New Roman"/>
          <w:sz w:val="24"/>
          <w:szCs w:val="24"/>
        </w:rPr>
      </w:pPr>
      <w:r w:rsidRPr="00A51941">
        <w:rPr>
          <w:rFonts w:ascii="Times New Roman" w:hAnsi="Times New Roman" w:cs="Times New Roman"/>
          <w:sz w:val="24"/>
          <w:szCs w:val="24"/>
        </w:rPr>
        <w:t xml:space="preserve">Child sexual abuse (CSA) is a global public health problem affecting 1 in 5 women and 1 in 12 men before age 18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{"citationItems":[{"id":"ITEM-1","itemData":{"DOI":"10.1177/1077559511403920","ISSN":"10775595","abstract":"Our comprehensive meta-analysis combined prevalence figures of childhood sexual abuse (CSA) reported in 217 publications published between 1980 and 2008, including 331 independent samples with a total of 9,911,748 participants. The overall estimated CSA prevalence was 127/1000 in self-report studies and 4/1000 in informant studies. Self-reported CSA was more common among female (180/1000) than among male participants (76/1000). Lowest rates for both girls (113/1000) and boys (41/1000) were found in Asia, and highest rates were found for girls in Australia (215/1000) and for boys in Africa (193/1000). The results of our meta-analysis confirm that CSA is a global problem of considerable extent, but also show that methodological issues drastically influence the self-reported prevalence of CSA. © The Author(s) 2011.","author":[{"dropping-particle":"","family":"Stoltenborgh","given":"Marije","non-dropping-particle":"","parse-names":false,"suffix":""},{"dropping-particle":"","family":"IJzendoorn","given":"Marinus H.","non-dropping-particle":"van","parse-names":false,"suffix":""},{"dropping-particle":"","family":"Euser","given":"Eveline M.","non-dropping-particle":"","parse-names":false,"suffix":""},{"dropping-particle":"","family":"Bakermans-Kranenburg","given":"Marian J.","non-dropping-particle":"","parse-names":false,"suffix":""}],"container-title":"Child Maltreatment","id":"ITEM-1","issue":"2","issued":{"date-parts":[["2011"]]},"page":"79-101","title":"A global perspective on child sexual abuse: Meta-analysis of prevalence around the world","type":"article-journal","volume":"16"},"uris":["http://www.mendeley.com/documents/?uuid=49a78465-a04c-402c-9eb3-daa4ca0d823c"]}],"mendeley":{"formattedCitation":"(Stoltenborgh, van IJzendoorn, Euser, &amp; Bakermans-Kranenburg, 2011)","manualFormatting":"(Stoltenborgh et al., 2011)","plainTextFormattedCitation":"(Stoltenborgh, van IJzendoorn, Euser, &amp; Bakermans-Kranenburg, 2011)","previouslyFormattedCitation":"(Stoltenborgh, van IJzendoorn, Euser, &amp; Bakermans-Kranenburg, 2011)"},"properties":{"noteIndex":0},"schema":"https://github.com/citation-style-language/schema/raw/master/csl-citation.json"}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(Stoltenborgh et al., 2011)</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In the U.S., the most recent national prevalence rates indicate 63,000 children were victims of CSA in 2018 alone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{"citationItems":[{"id":"ITEM-1","itemData":{"author":[{"dropping-particle":"","family":"U.S Department of Health &amp; Human Services","given":"","non-dropping-particle":"","parse-names":false,"suffix":""},{"dropping-particle":"","family":"Administration on Children and Families","given":"","non-dropping-particle":"","parse-names":false,"suffix":""},{"dropping-particle":"","family":"Administration on Children Youth and Families","given":"","non-dropping-particle":"","parse-names":false,"suffix":""},{"dropping-particle":"","family":"Children's Bureau","given":"","non-dropping-particle":"","parse-names":false,"suffix":""}],"id":"ITEM-1","issued":{"date-parts":[["2020"]]},"title":"Child Maltreatment 2018","type":"report"},"uris":["http://www.mendeley.com/documents/?uuid=c10f4908-9931-4ae2-ab79-7cac260b92c7"]},{"id":"ITEM-2","itemData":{"DOI":"10.1017/CBO9781107415324.004","ISBN":"9788578110796","ISSN":"1098-6596","PMID":"25246403","author":[{"dropping-particle":"","family":"Finkelhor","given":"David","non-dropping-particle":"","parse-names":false,"suffix":""},{"dropping-particle":"","family":"Saito","given":"Kei","non-dropping-particle":"","parse-names":false,"suffix":""},{"dropping-particle":"","family":"Jones","given":"Lisa","non-dropping-particle":"","parse-names":false,"suffix":""}],"id":"ITEM-2","issued":{"date-parts":[["2020"]]},"publisher-place":"Durham, NH","title":"Updated trends in Child Maltreatment, 2018","type":"report"},"uris":["http://www.mendeley.com/documents/?uuid=0bb111bd-eb74-4b52-b263-4961e3236a49"]}],"mendeley":{"formattedCitation":"(Finkelhor, Saito, &amp; Jones, 2020; U.S Department of Health &amp; Human Services, Administration on Children and Families, Administration on Children Youth and Families, &amp; Children’s Bureau, 2020)","manualFormatting":"(Finkelhor et al., 2020; DHHS, 2020)","plainTextFormattedCitation":"(Finkelhor, Saito, &amp; Jones, 2020; U.S Department of Health &amp; Human Services, Administration on Children and Families, Administration on Children Youth and Families, &amp; Children’s Bureau, 2020)","previouslyFormattedCitation":"(Finkelhor, Saito, &amp; Jones, 2020; U.S Department of Health &amp; Human Services, Administration on Children and Families, Administration on Children Youth and Families, &amp; Children’s Bureau, 2020)"},"properties":{"noteIndex":0},"schema":"https://github.com/citation-style-language/schema/raw/master/csl-citation.json"}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(Finkelhor et al., 2020; DHHS, 2020)</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An adverse childhood experience, CSA is associated with lifelong adverse mental health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{"citationItems":[{"id":"ITEM-1","itemData":{"DOI":"10.1016/j.amepre.2005.01.015","ISBN":"0749-3797 (Print)\\r0749-3797","ISSN":"07493797","PMID":"15894146","abstract":"Background: Childhood sexual abuse (CSA) is a worldwide problem. Although most studies on the long-term consequences of CSA have focused on women, sexual abuse of both boys and girls is common. Thus, a comparison of the long-term effects of CSA by gender of the victim will provide perspective on the need for future research, prevention activities, and treatment of survivors. Methods: A retrospective cohort study was conducted from 1995 to 1997 among 17,337 adult HMO members in San Diego, California. Participants completed a survey about abuse or household dysfunction during childhood, and multiple other health-related issues. Multivariate logistic regression was used to examine the relationships between severity of CSA (intercourse vs no intercourse) and long-term health and social problems (substance use and abuse, mental illness, and current problems with marriage and family) by gender of victim. Models controlled for exposure to other forms of adverse childhood experiences that co-occur with CSA. Among men, the relationship between the gender of the CSA perpetrator to the outcomes was also examined. Results: Contact CSA was reported by 16% of males and 25% of females. Men reported female perpetration of CSA nearly 40% of the time, and women reported female perpetration of CSA 6% of the time. CSA significantly increased the risk of the outcomes. The magnitude of the increase was similar for men and women. For example, compared to reporting no sexual abuse, a history of suicide attempt was more than twice as likely among both men and women who experienced CSA (p&lt;0.05). Compared with those who did not report CSA, men and women exposed to CSA were at a 40% increased risk of marrying an alcoholic, and a 40% to 50% increased risk of reporting current problems with their marriage (p&lt;0.05). Conclusions: In this cohort of adult HMO members, experiencing CSA was common among both men and women. The long-term impact of CSA on multiple health and social problems was similar for both men and women. These findings strongly indicate that boys and girls are vulnerable to this form of childhood maltreatment; the similarity in the likelihood for multiple behavioral, mental, and social outcomes among men and women suggests the need to identify and treat all adults affected by CSA. ?? 2005 American Journal of Preventive Medicine.","author":[{"dropping-particle":"","family":"Dube","given":"Shanta R.","non-dropping-particle":"","parse-names":false,"suffix":""},{"dropping-particle":"","family":"Anda","given":"Robert F.","non-dropping-particle":"","parse-names":false,"suffix":""},{"dropping-particle":"","family":"Whitfield","given":"Charles L.","non-dropping-particle":"","parse-names":false,"suffix":""},{"dropping-particle":"","family":"Brown","given":"David W.","non-dropping-particle":"","parse-names":false,"suffix":""},{"dropping-particle":"","family":"Felitti","given":"Vincent J.","non-dropping-particle":"","parse-names":false,"suffix":""},{"dropping-particle":"","family":"Dong","given":"Maxia","non-dropping-particle":"","parse-names":false,"suffix":""},{"dropping-particle":"","family":"Giles","given":"Wayne H.","non-dropping-particle":"","parse-names":false,"suffix":""}],"container-title":"American Journal of Preventive Medicine","id":"ITEM-1","issue":"5","issued":{"date-parts":[["2005"]]},"page":"430-438","title":"Long-term consequences of childhood sexual abuse by gender of victim","type":"article-journal","volume":"28"},"uris":["http://www.mendeley.com/documents/?uuid=d9fcb530-8524-4117-b8ae-0aec13b78f58"]},{"id":"ITEM-2","itemData":{"DOI":"10.1176/appi.ajp.2009.09030310","ISSN":"0002953X","abstract":"Objective: The purpose of this study was to utilize data from the 2000 British National Survey of Psychiatric Morbidity, a randomized cross-sectional survey of the British population that included questions relating to the phenomena of suicidality and sexual abuse, to test the hypothesis that suicide attempts in women are significantly associated with a history of sexual abuse. Method: Participants were male and female volunteers, ages 16 to 74 years old (N=8,580), interviewed in the 2000 British National Survey of Psychiatric Morbidity. Results: Sexual abuse was strongly associated with a history of suicide attempts as well as of suicidal intent and was more common in women. The population attributable risk fraction was considerably greater in female respondents (28%) than in male respondents (7%), which is consistent with more prevalent exposure to sexual abuse among women. The effect of sexual abuse on suicidal attempts and suicidal intent was reduced by controlling for affective symptoms, suggesting that the effect of the former was likely to be mediated by affective changes. Conclusions: Sexual abuse is a significant antecedent of suicidal behavior, particularly among women. In identifying suicidal behavior, it is important to consider the possibility of sexual abuse, since it implies a need for focused treatment.","author":[{"dropping-particle":"","family":"Bebbington","given":"Paul E.","non-dropping-particle":"","parse-names":false,"suffix":""},{"dropping-particle":"","family":"Cooper","given":"Claudia","non-dropping-particle":"","parse-names":false,"suffix":""},{"dropping-particle":"","family":"Minot","given":"Sarah","non-dropping-particle":"","parse-names":false,"suffix":""},{"dropping-particle":"","family":"Brugha","given":"Traolach S.","non-dropping-particle":"","parse-names":false,"suffix":""},{"dropping-particle":"","family":"Jenkins","given":"Rachel","non-dropping-particle":"","parse-names":false,"suffix":""},{"dropping-particle":"","family":"Meltzer","given":"Howard","non-dropping-particle":"","parse-names":false,"suffix":""},{"dropping-particle":"","family":"Dennis","given":"Michael","non-dropping-particle":"","parse-names":false,"suffix":""}],"container-title":"American Journal of Psychiatry","id":"ITEM-2","issue":"10","issued":{"date-parts":[["2009"]]},"page":"1135-1140","title":"Suicide attempts, gender, and sexual abuse: Data from the 2000 British psychiatric morbidity survey","type":"article-journal","volume":"166"},"uris":["http://www.mendeley.com/documents/?uuid=c8a063b6-dbaf-4056-b440-492f7100313f"]}],"mendeley":{"formattedCitation":"(Bebbington et al., 2009; Dube et al., 2005)","plainTextFormattedCitation":"(Bebbington et al., 2009; Dube et al., 2005)","previouslyFormattedCitation":"(Bebbington et al., 2009; Dube et al., 2005)"},"properties":{"noteIndex":0},"schema":"https://github.com/citation-style-language/schema/raw/master/csl-citation.json"}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(Bebbington et al., 2009; Dube et al., 2005)</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physical health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{"citationItems":[{"id":"ITEM-1","itemData":{"DOI":"10.1016/j.jadohealth.2016.09.008","ISBN":"1054-139X","ISSN":"18791972","abstract":"Purpose The purpose was to examine whether the timing of puberty, indexed by breast development and pubic hair development, was earlier for sexually abused females compared with a matched comparison group of nonabused females, controlling for key alternative confounds. Methods A cohort of sexually abused females and matched comparisons was followed longitudinally at mean ages 11 through 20 years. Sexually abused participants (N??= 84) were referred by protective services. Comparison participants (N??= 89) were recruited to be comparable in terms of age, ethnicity, income level, family constellation, zip codes, and nonsexual trauma histories. Stage of puberty was indexed at each assessment by nurse and participant ratings of breast and pubic hair development using Tanner staging???the gold standard for assessing pubertal onset and development. Cumulative logit mixed models were used to estimate the association between sexual abuse status and the likelihood of transitioning from earlier to later Tanner stage categories controlling for covariates and potential confounds. Results Sexual abuse was associated with earlier pubertal onset: 8??months earlier for breasts (odds ratio: 3.06, 95% CI: 1.11???8.49) and 12??months earlier for pubic hair (odds ratio: 3.49, 95% CI: 1.34???9.12). Alternative explanations including ethnicity, obesity, and biological father absence did not eradicate these findings. Conclusions This study confirms an association between exposure to childhood sexual abuse and earlier pubertal onset. Results highlight the possibility that, due to this early onset, sexual abuse survivors may be at increased risk for psychosocial difficulties, menstrual and fertility problems, and even reproductive cancers due to prolonged exposure to sex hormones.","author":[{"dropping-particle":"","family":"Noll","given":"Jennie G.","non-dropping-particle":"","parse-names":false,"suffix":""},{"dropping-particle":"","family":"Trickett","given":"Penelope K.","non-dropping-particle":"","parse-names":false,"suffix":""},{"dropping-particle":"","family":"Long","given":"Jeffrey D.","non-dropping-particle":"","parse-names":false,"suffix":""},{"dropping-particle":"","family":"Negriff","given":"Sonya","non-dropping-particle":"","parse-names":false,"suffix":""},{"dropping-particle":"","family":"Susman","given":"Elizabeth J.","non-dropping-particle":"","parse-names":false,"suffix":""},{"dropping-particle":"","family":"Shalev","given":"Idan","non-dropping-particle":"","parse-names":false,"suffix":""},{"dropping-particle":"","family":"Li","given":"Jacinda C.","non-dropping-particle":"","parse-names":false,"suffix":""},{"dropping-particle":"","family":"Putnam","given":"Frank W.","non-dropping-particle":"","parse-names":false,"suffix":""}],"container-title":"Journal of Adolescent Health","id":"ITEM-1","issue":"1","issued":{"date-parts":[["2017"]]},"page":"65-71","publisher":"Elsevier Inc.","title":"Childhood sexual abuse and early timing of puberty","type":"article-journal","volume":"60"},"uris":["http://www.mendeley.com/documents/?uuid=b081d963-eb35-4c08-9610-74855b676171"]},{"id":"ITEM-2","itemData":{"DOI":"10.1542/peds.2006-3058","ISBN":"0031-4005","ISSN":"1098-4275","PMID":"17606550","abstract":"OBJECTIVE: Efforts are under way to articulate environmental, psychosocial, and biological conditions that may predispose the development and maintenance of obesity. There is increasing evidence that adverse childhood experiences such as childhood abuse may be implicated in the development of obesity. Given the dearth of prospective evidence for this link, the objective of this study was to track body mass across development (from childhood, through adolescence, and into young adulthood [ie, ages 6-27]) in a prospective, longitudinal study of abused and nonabused female subjects. METHODS: Height and weight were obtained for 84 female subjects with substantiated childhood sexual abuse and 89 demographically similar comparison female subjects at 6 points during development. Obesity status was examined at various stages during development, and body-mass growth trajectories were contrasted across the 2 groups. It was hypothesized that, in comparison with their nonabused peers, abused female subjects would be more likely to (1) manifest obesity by early adulthood and (2) manifest high-risk growth trajectories throughout development. RESULTS: Obesity rates were not different across groups in childhood or adolescence. By young adulthood (ages 20-27), abused female subjects were significantly more likely to be obese (42.25%) than were comparison female subjects (28.40%). Hierarchical linear modeling growth-trajectory analyses indicated that abused female subjects, on average, acquired body mass at a significantly steeper rate from childhood through young adulthood than did comparison female subjects after controlling for minority status and parity. CONCLUSIONS: Psychosocial difficulties (eg, depression) and psychobiological conditions (eg, hypothalamic-pituitary-adrenal axis dysregulation) that have been shown to be related to both childhood abuse and obesity may help to explain these results. The identification of high-risk growth trajectories may improve health outcomes for victims. Systematic study of the mechanistic pathways and mediating processes that would help to explain the connection between childhood sexual abuse and later obesity is encouraged.","author":[{"dropping-particle":"","family":"Noll","given":"Jennie G.","non-dropping-particle":"","parse-names":false,"suffix":""},{"dropping-particle":"","family":"Zeller","given":"M H","non-dropping-particle":"","parse-names":false,"suffix":""},{"dropping-particle":"","family":"Trickett","given":"P K","non-dropping-particle":"","parse-names":false,"suffix":""},{"dropping-particle":"","family":"Putnam","given":"F W","non-dropping-particle":"","parse-names":false,"suffix":""}],"container-title":"Pediatrics","id":"ITEM-2","issue":"1","issued":{"date-parts":[["2007"]]},"page":"e61-7","title":"Obesity risk for female victims of childhood sexual abuse: a prospective study","type":"article-journal","volume":"120"},"uris":["http://www.mendeley.com/documents/?uuid=08897e4e-0839-4687-8361-985450888481"]},{"id":"ITEM-3","itemData":{"DOI":"10.1016/j.chiabu.2017.02.038","ISSN":"0145-2134","author":[{"dropping-particle":"","family":"Daigneault","given":"Isabelle","non-dropping-particle":"","parse-names":false,"suffix":""},{"dropping-particle":"","family":"Vézina-gagnon","given":"Pascale","non-dropping-particle":"","parse-names":false,"suffix":""},{"dropping-particle":"","family":"Bourgeois","given":"Catherine","non-dropping-particle":"","parse-names":false,"suffix":""},{"dropping-particle":"","family":"Esposito","given":"Tonino","non-dropping-particle":"","parse-names":false,"suffix":""},{"dropping-particle":"","family":"Hébert","given":"Martine","non-dropping-particle":"","parse-names":false,"suffix":""}],"container-title":"Child Abuse &amp; Neglect","id":"ITEM-3","issued":{"date-parts":[["2017"]]},"page":"155-165","publisher":"Elsevier Ltd","title":"Physical and mental health of children with substantiated sexual abuse: Gender comparisons from a matched-control cohort study","type":"article-journal","volume":"66"},"uris":["http://www.mendeley.com/documents/?uuid=e2e64ec2-3a4c-4178-9afb-1127c8f743a9"]}],"mendeley":{"formattedCitation":"(Daigneault, Vézina-gagnon, Bourgeois, Esposito, &amp; Hébert, 2017; Noll et al., 2017; Noll, Zeller, Trickett, &amp; Putnam, 2007)","manualFormatting":"(Daigneault et al., 2017; Noll et al., 2017; Noll et al., 2007)","plainTextFormattedCitation":"(Daigneault, Vézina-gagnon, Bourgeois, Esposito, &amp; Hébert, 2017; Noll et al., 2017; Noll, Zeller, Trickett, &amp; Putnam, 2007)","previouslyFormattedCitation":"(Daigneault, Vézina-gagnon, Bourgeois, Esposito, &amp; Hébert, 2017; Noll et al., 2017; Noll, Zeller, Trickett, &amp; Putnam, 2007)"},"properties":{"noteIndex":0},"schema":"https://github.com/citation-style-language/schema/raw/master/csl-citation.json"}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(Daigneault et al., 2017; Noll et al., 2017; Noll et al., 2007)</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and behavioral health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{"citationItems":[{"id":"ITEM-1","itemData":{"DOI":"10.1016/j.chiabu.2008.09.013","ISBN":"01452134","ISSN":"01452134","PMID":"19596434","abstract":"Objective: This 15-year prospective, longitudinal study examines adolescent and young-adult female self-reports of traumatic sexual and physical experiences occurring subsequent to substantiated childhood sexual abuse-revictimizations (N = 89). Method: These incidences were contrasted to sexual and physical victimizations reported by a group of non-abused comparison females (N = 90). Results: Abused females were almost twice as likely to have experienced sexual revictimization (odds = 1.99 ?? 2.79, p &lt; .05), and physical revictimization (odds = 1.96 ?? 2.58, p &lt; .05) as compared to victimization rates reported by comparison females. Abused females' revictimizations were also more likely to have been perpetrated by older, non-peers and characterized by physical injury than were victimizations reported by comparison females. Conclusion: Early childhood sexual abuse may provide information regarding the level of risk for recurrent sexual and physical victimization.","author":[{"dropping-particle":"","family":"Barnes","given":"Jaclyn E.","non-dropping-particle":"","parse-names":false,"suffix":""},{"dropping-particle":"","family":"Noll","given":"Jennie G.","non-dropping-particle":"","parse-names":false,"suffix":""},{"dropping-particle":"","family":"Putnam","given":"Frank W.","non-dropping-particle":"","parse-names":false,"suffix":""},{"dropping-particle":"","family":"Trickett","given":"Penelope K.","non-dropping-particle":"","parse-names":false,"suffix":""}],"container-title":"Child Abuse and Neglect","id":"ITEM-1","issue":"7","issued":{"date-parts":[["2009"]]},"page":"412-420","title":"Sexual and physical revictimization among victims of severe childhood sexual abuse","type":"article-journal","volume":"33"},"uris":["http://www.mendeley.com/documents/?uuid=2a659b30-8ff1-4fdd-8baa-94618114f05d"]},{"id":"ITEM-2","itemData":{"DOI":"10.1542/peds.2012-3072","ISSN":"0031-4005","author":[{"dropping-particle":"","family":"Noll","given":"Jennie G.","non-dropping-particle":"","parse-names":false,"suffix":""},{"dropping-particle":"","family":"Shenk","given":"Chad E.","non-dropping-particle":"","parse-names":false,"suffix":""}],"container-title":"Pediatrics","id":"ITEM-2","issue":"4","issued":{"date-parts":[["2013"]]},"page":"e1181-e1187","title":"Teen birth rates in sexually abused and neglected females","type":"article-journal","volume":"131"},"uris":["http://www.mendeley.com/documents/?uuid=f479627d-42c5-4861-81b7-276218723a61"]},{"id":"ITEM-3","itemData":{"DOI":"10.1111/jora.12436","ISSN":"10508392","abstract":"Abstract This study tested sexual abuse as a unique predictor of subsequent adolescent sexual behaviors, pregnancy, and motherhood when in company with other types of maltreatment (physical abuse, neglect) and alternative behavioral, family, and contextual risk factors in a prospective, longitudinal study of maltreated (n = 275) and comparison (n = 239) nulliparous females aged 14–19 years old assessed annually through 19 years old. Hierarchical regression was used to disentangle risk factors that account for the associations of maltreatment type on risky sexual behaviors at 19 years old, adolescent pregnancy, and adolescent motherhood. Findings indicate that sexual and physical abuse remain significant predictors of risky sexual behaviors, and that sexual abuse remains a significant predictor of adolescent motherhood when alternative explanatory variables are controlled.","author":[{"dropping-particle":"","family":"Noll","given":"Jennie G","non-dropping-particle":"","parse-names":false,"suffix":""},{"dropping-particle":"","family":"Guastaferro","given":"Kate","non-dropping-particle":"","parse-names":false,"suffix":""},{"dropping-particle":"","family":"Beal","given":"Sarah J","non-dropping-particle":"","parse-names":false,"suffix":""},{"dropping-particle":"","family":"Schreier","given":"Hannah M C","non-dropping-particle":"","parse-names":false,"suffix":""},{"dropping-particle":"","family":"Barnes","given":"Jaclyn","non-dropping-particle":"","parse-names":false,"suffix":""},{"dropping-particle":"","family":"Reader","given":"Jonathan M","non-dropping-particle":"","parse-names":false,"suffix":""},{"dropping-particle":"","family":"Font","given":"Sarah A","non-dropping-particle":"","parse-names":false,"suffix":""}],"container-title":"Journal of Research on Adolescence","id":"ITEM-3","issued":{"date-parts":[["2018"]]},"page":"1-17","title":"Is sexual abuse a unique predictor of sexual risk behaviors, pregnancy, and motherhood in adolescence?","type":"article-journal"},"uris":["http://www.mendeley.com/documents/?uuid=aefb9b41-2720-4c2a-b5c5-fb41eb97b48f"]}],"mendeley":{"formattedCitation":"(Barnes, Noll, Putnam, &amp; Trickett, 2009; Noll et al., 2018; Noll &amp; Shenk, 2013)","manualFormatting":"(Barnes et al., 2009; Noll et al., 2018; Noll &amp; Shenk, 2013)","plainTextFormattedCitation":"(Barnes, Noll, Putnam, &amp; Trickett, 2009; Noll et al., 2018; Noll &amp; Shenk, 2013)","previouslyFormattedCitation":"(Barnes, Noll, Putnam, &amp; Trickett, 2009; Noll et al., 2018; Noll &amp; Shenk, 2013)"},"properties":{"noteIndex":0},"schema":"https://github.com/citation-style-language/schema/raw/master/csl-citation.json"}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(Barnes et al., 2009; Noll et al., 2018; Noll &amp; Shenk, 2013)</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outcomes and is known to have intergenerational effects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{"citationItems":[{"id":"ITEM-1","itemData":{"DOI":"10.1016/j.chiabu.2016.11.021","ISSN":"18737757","PMID":"27914238","abstract":"A maternal history of childhood maltreatment is thought to be a potent risk factor for child abuse and neglect, yet the extent of continuity across generations is unclear, with studies reporting vastly different rates of intergenerational transmission. Disparate findings may be due to lack of attention to the nature of maltreatment experiences in each generation. We sought to expand the current literature by examining the role of maltreatment type, perpetrator identity, and substantiation status of reports to child protective services (CPS) on intergenerational maltreatment among adolescent mothers (n = 417) and their children. We found that when mothers had at least one report of childhood maltreatment (substantiated or not), the odds that they maltreated their children increased by 72% (OR = 2.52), compared to mothers who are not maltreated, but the odds were considerably lower when we limited analysis to substantiated reports. Both a maternal history of substantiated neglect and multiple type maltreatment (neglect and physical or sexual abuse) were associated with increased risk of child maltreatment, yet the likelihood of children experiencing multiple maltreatment perpetrated with their mothers identified as perpetrators increased over 300% when mothers had a childhood history of multiple maltreatment.","author":[{"dropping-particle":"","family":"Bartlett","given":"Jessica Dym","non-dropping-particle":"","parse-names":false,"suffix":""},{"dropping-particle":"","family":"Kotake","given":"Chie","non-dropping-particle":"","parse-names":false,"suffix":""},{"dropping-particle":"","family":"Fauth","given":"Rebecca","non-dropping-particle":"","parse-names":false,"suffix":""},{"dropping-particle":"","family":"Easterbrooks","given":"M. Ann","non-dropping-particle":"","parse-names":false,"suffix":""}],"container-title":"Child Abuse and Neglect","id":"ITEM-1","issued":{"date-parts":[["2017"]]},"page":"84-94","publisher":"Elsevier Ltd","title":"Intergenerational transmission of child abuse and neglect: Do maltreatment type, perpetrator, and substantiation status matter?","type":"article-journal","volume":"63"},"uris":["http://www.mendeley.com/documents/?uuid=0c7ce7df-6bb6-4594-8823-749ea7c1b64e"]},{"id":"ITEM-2","itemData":{"DOI":"10.1177/1359104510367590","ISBN":"1461-7021 (Electronic)\\n1359-1045 (Linking)","ISSN":"1461-7021","PMID":"20603427","abstract":"Childhood sexual abuse (CSA) is a recognized risk factor for various negative outcomes in adult survivors and their offspring. We used the Dynamic-Maturational Model of attachment theory as a framework for exploring the impact of maternal CSA on children's attachment relationships in the context of a longitudinal sample of adult survivors of CSA and non-abused comparison mothers and their children. Results indicated that children of CSA survivors were more likely to have extreme strategies of attachment than the children of non-abused mothers. However, because both groups were at socioeconomic risk, both were typified by anxious attachment. Explanations for findings and implications for children's development are explored.","author":[{"dropping-particle":"","family":"Kwako","given":"Laura E","non-dropping-particle":"","parse-names":false,"suffix":""},{"dropping-particle":"","family":"Noll","given":"Jennie G","non-dropping-particle":"","parse-names":false,"suffix":""},{"dropping-particle":"","family":"Putnam","given":"Frank W","non-dropping-particle":"","parse-names":false,"suffix":""},{"dropping-particle":"","family":"Trickett","given":"Penelope K","non-dropping-particle":"","parse-names":false,"suffix":""}],"container-title":"Clinical Child Psychology and Psychiatry","id":"ITEM-2","issue":"3","issued":{"date-parts":[["2010"]]},"page":"407-22","title":"Childhood sexual abuse and attachment: An intergenerational perspective","type":"article-journal","volume":"15"},"uris":["http://www.mendeley.com/documents/?uuid=ed49566b-5a91-438f-93ac-3d40475d094e"]},{"id":"ITEM-3","itemData":{"DOI":"10.1017/S0954579411000174","ISBN":"1469-2198(Electronic);0954-5794(Print)","ISSN":"1469-2198","PMID":"23786689","abstract":"This is a report on the research design and findings of a 23-year longitudinal study of the impact of intrafamilial sexual abuse on female development. The conceptual framework integrated concepts of psychological adjustment with theory regarding how psychobiological factors might impact development. Participants included 6- to 16-year-old females with substantiated sexual abuse and a demographically similar comparison group. A cross-sequential design was used and six assessments have taken place, with participants at median age 11 at the first assessment and median age 25 at the sixth assessment. Mothers of participants took part in the early assessments and offspring took part at the sixth assessment. Results of many analyses, both within circumscribed developmental stages and across development, indicated that sexually abused females (on average) showed deleterious sequelae across a host of biopsychosocial domains including: earlier onsets of puberty, cognitive deficits, depression, dissociative symptoms, maladaptive sexual development, hypothalamic-pituitary-adrenal attenuation, asymmetrical stress responses, high rates of obesity, more major illnesses and healthcare utilization, dropping out of high school, persistent posttraumatic stress disorder, self-mutilation, Diagnostic and Statistical Manual of Mental Disorders diagnoses, physical and sexual revictimization, premature deliveries, teen motherhood, drug and alcohol abuse, and domestic violence. Offspring born to abused mothers were at increased risk for child maltreatment and overall maldevelopment. There was also a pattern of considerable within group variability. Based on this complex network of findings, implications for optimal treatments are elucidated. Translational aspects of extending observational research into clinical practice are discussed in terms that will likely have a sustained impact on several major public health initiatives.","author":[{"dropping-particle":"","family":"Trickett","given":"Penelope K","non-dropping-particle":"","parse-names":false,"suffix":""},{"dropping-particle":"","family":"Noll","given":"Jennie G","non-dropping-particle":"","parse-names":false,"suffix":""},{"dropping-particle":"","family":"Putnam","given":"Frank W","non-dropping-particle":"","parse-names":false,"suffix":""}],"container-title":"Development and psychopathology","id":"ITEM-3","issue":"2","issued":{"date-parts":[["2011"]]},"page":"453-76","title":"The impact of sexual abuse on female development: Lessons from a multigenerational, longitudinal research study","type":"article-journal","volume":"23"},"uris":["http://www.mendeley.com/documents/?uuid=46f479b4-1f18-40c9-b445-9ee11a1bc634"]}],"mendeley":{"formattedCitation":"(Bartlett, Kotake, Fauth, &amp; Easterbrooks, 2017; Kwako, Noll, Putnam, &amp; Trickett, 2010; Trickett, Noll, &amp; Putnam, 2011)","manualFormatting":"(Bartlett et al., 2017; Kwako et al., 2010; Trickett et al., 2011)","plainTextFormattedCitation":"(Bartlett, Kotake, Fauth, &amp; Easterbrooks, 2017; Kwako, Noll, Putnam, &amp; Trickett, 2010; Trickett, Noll, &amp; Putnam, 2011)","previouslyFormattedCitation":"(Bartlett, Kotake, Fauth, &amp; Easterbrooks, 2017; Kwako, Noll, Putnam, &amp; Trickett, 2010; Trickett, Noll, &amp; Putnam, 2011)"},"properties":{"noteIndex":0},"schema":"https://github.com/citation-style-language/schema/raw/master/csl-citation.json"}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(Bartlett et al., 2017; Kwako et al., 2010; Trickett et al., 2011)</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Accounting for productivity losses as well as healthcare, education, child welfare, and criminal justice costs, the lifetime economic burden of CSA is estimated to exceed $9.3 billion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{"citationItems":[{"id":"ITEM-1","itemData":{"DOI":"10.1016/j.chiabu.2018.02.020","ISSN":"18737757","author":[{"dropping-particle":"","family":"Letourneau","given":"Elizabeth J.","non-dropping-particle":"","parse-names":false,"suffix":""},{"dropping-particle":"","family":"Brown","given":"Derek S.","non-dropping-particle":"","parse-names":false,"suffix":""},{"dropping-particle":"","family":"Fang","given":"Xiangming","non-dropping-particle":"","parse-names":false,"suffix":""},{"dropping-particle":"","family":"Hassan","given":"Ahmed","non-dropping-particle":"","parse-names":false,"suffix":""},{"dropping-particle":"","family":"Mercy","given":"James A.","non-dropping-particle":"","parse-names":false,"suffix":""}],"container-title":"Child Abuse &amp; Neglect","id":"ITEM-1","issued":{"date-parts":[["2018"]]},"page":"413-422","publisher":"Elsevier","title":"The economic burden of child sexual abuse in the United States","type":"article-journal","volume":"79"},"uris":["http://www.mendeley.com/documents/?uuid=18a114b5-6788-473e-931f-869c6c081aac"]}],"mendeley":{"formattedCitation":"(Letourneau, Brown, Fang, Hassan, &amp; Mercy, 2018)","manualFormatting":"(Letourneau et al., 2018)","plainTextFormattedCitation":"(Letourneau, Brown, Fang, Hassan, &amp; Mercy, 2018)","previouslyFormattedCitation":"(Letourneau, Brown, Fang, Hassan, &amp; Mercy, 2018)"},"properties":{"noteIndex":0},"schema":"https://github.com/citation-style-language/schema/raw/master/csl-citation.json"}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(Letourneau et al., 2018)</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Between 1990 and 2017, rates of CSA declined 62%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author":[{"dropping-particle":"","family":"Finkelhor","given":"David","non-dropping-particle":"","parse-names":false,"suffix":""},{"dropping-particle":"","family":"Saito","given":"Kei","non-dropping-particle":"","parse-names":false,"suffix":""},{"dropping-particle":"","family":"Jones","given":"Lisa","non-dropping-particle":"","parse-names":false,"suffix":""}],"id":"ITEM-1","issued":{"date-parts":[["2019"]]},"number-of-pages":"1-4","publisher-place":"Durham, NH","title":"Updated trends in child maltreatment, 2017","type":"report"},"uris":["http://www.mendeley.com/documents/?uuid=93d7fcef-fc79-4dc7-8f08-ada70bb4a6cf"]}],"mendeley":{"formattedCitation":"(Finkelhor, Saito, &amp; Jones, 2019)","manualFormatting":"(Finkelhor et al., 2019)","plainTextFormattedCitation":"(Finkelhor, Saito, &amp; Jones, 2019)","previouslyFormattedCitation":"(Finkelhor, Saito, &amp; Jones, 2019)"},"properties":{"noteIndex":0},"schema":"https://github.com/citation-style-language/schema/raw/master/csl-citation.json"}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(Finkelhor et al., 2019)</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however, reasons for this decline are not well-understood. It is likely primary prevention efforts, beginning in earnest in the 1980s, contributed to the reduction by raising public awareness about the signs of and how to respond to abuse. Importantly, this decline notably plateaued over the past decade, and prevalence estimates from 2018 indicate that rates of CSA in the U.S. may be on the rise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DOI":"10.1017/CBO9781107415324.004","ISBN":"9788578110796","ISSN":"1098-6596","PMID":"25246403","author":[{"dropping-particle":"","family":"Finkelhor","given":"David","non-dropping-particle":"","parse-names":false,"suffix":""},{"dropping-particle":"","family":"Saito","given":"Kei","non-dropping-particle":"","parse-names":false,"suffix":""},{"dropping-particle":"","family":"Jones","given":"Lisa","non-dropping-particle":"","parse-names":false,"suffix":""}],"id":"ITEM-1","issued":{"date-parts":[["2020"]]},"publisher-place":"Durham, NH","title":"Updated trends in Child Maltreatment, 2018","type":"report"},"uris":["http://www.mendeley.com/documents/?uuid=0bb111bd-eb74-4b52-b263-4961e3236a49"]}],"mendeley":{"formattedCitation":"(Finkelhor et al., 2020)","plainTextFormattedCitation":"(Finkelhor et al., 2020)","previouslyFormattedCitation":"(Finkelhor et al., 2020)"},"properties":{"noteIndex":0},"schema":"https://github.com/citation-style-language/schema/raw/master/csl-citation.json"}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(Finkelhor et al., 2020)</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Given the individual and societal costs of CSA exposure and increasing prevalence rates, effective CSA primary prevention strategies are urgently needed.  </w:t>
      </w:r>
    </w:p>
    <w:p w14:paraId="0661D696" w14:textId="77777777" w:rsidR="007D3D49" w:rsidRPr="00A51941" w:rsidRDefault="007D3D49" w:rsidP="007D3D49">
      <w:pPr>
        <w:spacing w:after="0" w:line="480" w:lineRule="auto"/>
        <w:ind w:firstLine="720"/>
        <w:rPr>
          <w:rFonts w:ascii="Times New Roman" w:hAnsi="Times New Roman" w:cs="Times New Roman"/>
          <w:sz w:val="24"/>
          <w:szCs w:val="24"/>
        </w:rPr>
      </w:pPr>
      <w:r w:rsidRPr="00A51941">
        <w:rPr>
          <w:rFonts w:ascii="Times New Roman" w:hAnsi="Times New Roman" w:cs="Times New Roman"/>
          <w:sz w:val="24"/>
          <w:szCs w:val="24"/>
        </w:rPr>
        <w:t xml:space="preserve">Historically, CSA primary prevention efforts have predominantly focused on teaching personal safety skills to school-aged children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{"citationItems":[{"id":"ITEM-1","itemData":{"DOI":"10.2105/AJPH.2015.302594","ISBN":"1541-0048(Electronic);0090-0036(Print)","ISSN":"15410048","PMID":"25973809","abstract":"OBJECTIVES We evaluated a school-based child sexual abuse (CSA) prevention program, Safe Touches, in a low-socioeconomic status, racially diverse sample. METHODS Participants were 492 second- and third-grade students at 6 public elementary schools in New York City. The study period spanned fall 2012 through summer 2014. We cluster-randomized classrooms to the Safe Touches intervention or control groups and assessed outcomes with the Children's Knowledge of Abuse Questionnaire. Hierarchical models tested change in children's knowledge of inappropriate and appropriate touch. RESULTS The intervention group showed significantly greater improvement than the control group on knowledge of inappropriate touch. Children in second grade and children in schools with a greater proportion of students in general (vs special) education showed greater gains than other participants in knowledge of inappropriate touch. We observed no significant change in knowledge of appropriate touch among control or intervention groups. CONCLUSIONS Young children benefited from a school-based, 1-time CSA prevention program. Future research should explore the efficacy of CSA prevention programs with children before the second grade to determine optimal age for participation.","author":[{"dropping-particle":"","family":"Pulido","given":"Mary L.","non-dropping-particle":"","parse-names":false,"suffix":""},{"dropping-particle":"","family":"Dauber","given":"Sarah","non-dropping-particle":"","parse-names":false,"suffix":""},{"dropping-particle":"","family":"Tully","given":"Brenda A.","non-dropping-particle":"","parse-names":false,"suffix":""},{"dropping-particle":"","family":"Hamilton","given":"Paige","non-dropping-particle":"","parse-names":false,"suffix":""},{"dropping-particle":"","family":"Smith","given":"Michael J.","non-dropping-particle":"","parse-names":false,"suffix":""},{"dropping-particle":"","family":"Freeman","given":"Katherine","non-dropping-particle":"","parse-names":false,"suffix":""}],"container-title":"American Journal of Public Health","id":"ITEM-1","issue":"7","issued":{"date-parts":[["2015"]]},"page":"1344-1350","title":"Knowledge gains following a child sexual abuse prevention program among urban students: A cluster-randomized evaluation","type":"article-journal","volume":"105"},"uris":["http://www.mendeley.com/documents/?uuid=a499da2f-a2e7-4421-ad76-5b7acdac115a"]},{"id":"ITEM-2","itemData":{"DOI":"10.1016/j.childyouth.2018.11.029","ISSN":"01907409","abstract":"Parents play a crucial role as protectors and educators of their children, with whom they are in an ideal position to share prevention information. This study aimed to investigate whether Chinese parents’ knowledge, attitude and practice regarding child sexual abuse (CSA) prevention could be explained by health behavior change theory and whether parental practice influenced children's CSA prevention skills. Data were collected from 452 families (comprising father, mother, and child) with self-administered questionnaires gathering information on demographics, parental knowledge, attitude, educational practice regarding CSA prevention, and children's CSA prevention knowledge and strategies. Data were analysed using structural equation modeling (SEM) to assess the relationships between variables. SEM analyses indicated that parents’ knowledge had an indirect effect on their educational practice (β = 0.35), mediated by attitude. Parents’ educational practice regarding CSA prevention directly influenced children's self-protection skills (β = 0.21, χ2[30] = 60.909, RMSEA = 0.053, IFI = 0.905, CFI = 0.901, TLI = 0.852). The study findings suggest that parents can be effective instructors by enhancing their children's capacities to protect themselves from CSA. Efforts are therefore needed to encourage parents to engage in CSA prevention education with their children and to provide parents with necessary knowledge, communicative techniques, and resources to do so.","author":[{"dropping-particle":"","family":"Jin","given":"Yichen","non-dropping-particle":"","parse-names":false,"suffix":""},{"dropping-particle":"","family":"Chen","given":"Jingqi","non-dropping-particle":"","parse-names":false,"suffix":""},{"dropping-particle":"","family":"Yu","given":"Buyi","non-dropping-particle":"","parse-names":false,"suffix":""}],"container-title":"Children and Youth Services Review","id":"ITEM-2","issue":"November 2018","issued":{"date-parts":[["2019"]]},"page":"64-69","publisher":"Elsevier","title":"Parental practice of child sexual abuse prevention education in China: Does it have an influence on child's outcome?","type":"article-journal","volume":"96"},"uris":["http://www.mendeley.com/documents/?uuid=5d258532-c20e-4d7b-90e4-144625570c3c"]}],"mendeley":{"formattedCitation":"(Jin, Chen, &amp; Yu, 2019; Pulido et al., 2015)","plainTextFormattedCitation":"(Jin, Chen, &amp; Yu, 2019; Pulido et al., 2015)","previouslyFormattedCitation":"(Jin, Chen, &amp; Yu, 2019; Pulido et al., 2015; Wurtele &amp; Owens, 1997)"},"properties":{"noteIndex":0},"schema":"https://github.com/citation-style-language/schema/raw/master/csl-citation.json"}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(Jin, Chen, &amp; Yu, 2019; Pulido et al., 2015)</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with the purpose of strengthening children’s knowledge and skills to prevent victimization. </w:t>
      </w:r>
      <w:bookmarkStart w:id="0" w:name="_Hlk46846799"/>
      <w:r w:rsidRPr="00A51941">
        <w:rPr>
          <w:rFonts w:ascii="Times New Roman" w:hAnsi="Times New Roman" w:cs="Times New Roman"/>
          <w:sz w:val="24"/>
          <w:szCs w:val="24"/>
        </w:rPr>
        <w:t xml:space="preserve">Some of these preventive efforts rely on parents to serve as the teacher, directly convey safety skills to </w:t>
      </w:r>
      <w:r w:rsidRPr="00A51941">
        <w:rPr>
          <w:rFonts w:ascii="Times New Roman" w:hAnsi="Times New Roman" w:cs="Times New Roman"/>
          <w:sz w:val="24"/>
          <w:szCs w:val="24"/>
        </w:rPr>
        <w:lastRenderedPageBreak/>
        <w:t xml:space="preserve">children which is problematic as parents are uncomfortable talking to their children about sex, even when they have the knowledge and intentions to do so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{"citationItems":[{"id":"ITEM-1","itemData":{"DOI":"10.1007/s10826-015-0277-5","ISBN":"1062-1024","ISSN":"10621024","abstract":"Parents are vital to the successful prevention of child sexual abuse (CSA). A better understanding of parents' perceptions and practice of CSA is essential for developing and implementing effective parent-involved prevention programs. Therefore, the purpose of this article is to explore how and why parents in China perceive and respond to the CSA problem in the way that they do. Semi-structured interviews were conducted with a sample of 26 parents of preschool- or primary school-aged children in Beijing, who were purposely selected to be diverse in gender, age, and socioeconomic status. The results show that parents' definition of CSA included four levels of sexual activities and invoked some additional factors. Parents perceived that CSA risks differed between all children and their own children, between boys and girls, and between poor and nonpoor children. They insisted that perpetrators were more likely to be familiar rather than strangers. There were some barriers hindering their CSA preventive practice, especially their ability or willingness to discuss CSA with their children. Furthermore, parents' perceptions and practices were analyzed and discussed within a Chinese sociocultural context, and compared with those in Western developed countries. This study's findings suggest that in the absence of government leadership and professional intervention services for CSA, parent-involved CSA prevention should be developed in mainland China and that CSA prevention education for Chinese parents should be a key part of these initiatives.","author":[{"dropping-particle":"","family":"Xie","given":"Qian Wen","non-dropping-particle":"","parse-names":false,"suffix":""},{"dropping-particle":"","family":"Qiao","given":"Dong Ping","non-dropping-particle":"","parse-names":false,"suffix":""},{"dropping-particle":"","family":"Wang","given":"Xiao Lei","non-dropping-particle":"","parse-names":false,"suffix":""}],"container-title":"Journal of Child and Family Studies","id":"ITEM-1","issue":"3","issued":{"date-parts":[["2016"]]},"page":"999-1010","publisher":"Springer US","title":"Parent-involved prevention of child sexual abuse: A qualitative exploration of parents' perceptions and practices in Beijing","type":"article-journal","volume":"25"},"uris":["http://www.mendeley.com/documents/?uuid=891831a6-bb1b-4bb0-8012-357f6368a97f"]},{"id":"ITEM-2","itemData":{"DOI":"10.1016/j.chiabu.2018.08.016","ISSN":"18737757","abstract":"Although parents are essential to child sexual abuse (CSA) prevention efforts, their views on prevention and protection are not always represented in the research literature. In this qualitative study of 24 Australian parents, beliefs about CSA, its risk factors, prevention methods, and parents’ role in CSA protection, and parents’ approaches to protection of their own children, are examined. Findings were condensed into five themes: (a) parents’ understanding of child sexual abuse, grooming and risk; (b) parent-led CSA education; (c) parents’ beliefs about CSA education; (d) children recognizing and resisting CSA; and (e) parent responsibility for protection. Findings suggest that parents have a good knowledge of CSA and its risks. However, they do not provide their children with the comprehensive prevention messages recommended by prevention campaigns and many concentrate on abduction dangers. This gap between knowledge and parental communication with children could be due to parents’ beliefs that there may be harms associated with education of children about CSA (e.g., such as inciting new fears and worries or reducing trust in others) and that the method may not be effective in protecting children from CSA. This study adds to the existing literature by presenting information that could be useful in designing programs to include parents in CSA protection and by approaching CSA research with parents as the key agents in the protection of children.","author":[{"dropping-particle":"","family":"Rudolph","given":"Julia","non-dropping-particle":"","parse-names":false,"suffix":""},{"dropping-particle":"","family":"Zimmer-Gembeck","given":"Melanie J.","non-dropping-particle":"","parse-names":false,"suffix":""}],"container-title":"Child Abuse and Neglect","id":"ITEM-2","issue":"August","issued":{"date-parts":[["2018"]]},"page":"28-38","publisher":"Elsevier","title":"Parents as protectors: A qualitative study of parents’ views on child sexual abuse prevention","type":"article-journal","volume":"85"},"uris":["http://www.mendeley.com/documents/?uuid=e206a27f-7aa2-463d-a940-4126ab8c2607"]}],"mendeley":{"formattedCitation":"(Rudolph &amp; Zimmer-Gembeck, 2018a; Xie, Qiao, &amp; Wang, 2016)","manualFormatting":"(Rudolph &amp; Zimmer-Gembeck, 2018a; Xie et al. , 2016)","plainTextFormattedCitation":"(Rudolph &amp; Zimmer-Gembeck, 2018a; Xie, Qiao, &amp; Wang, 2016)","previouslyFormattedCitation":"(Rudolph &amp; Zimmer-Gembeck, 2018a; Xie, Qiao, &amp; Wang, 2016)"},"properties":{"noteIndex":0},"schema":"https://github.com/citation-style-language/schema/raw/master/csl-citation.json"}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(Rudolph &amp; Zimmer-Gembeck, 2018a; Xie et al. , 2016)</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w:t>
      </w:r>
      <w:bookmarkEnd w:id="0"/>
      <w:r w:rsidRPr="00A51941">
        <w:rPr>
          <w:rFonts w:ascii="Times New Roman" w:hAnsi="Times New Roman" w:cs="Times New Roman"/>
          <w:sz w:val="24"/>
          <w:szCs w:val="24"/>
        </w:rPr>
        <w:t xml:space="preserve">Criticisms of child-focused strategies include the complexity of concepts for young children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{"citationItems":[{"id":"ITEM-1","itemData":{"DOI":"10.1080/10538710802584650","ISBN":"1053-8712","ISSN":"1053-8712","PMID":"19197612","abstract":"Child sexual abuse is a widespread social problem that negatively affects victims, families, communities, and society. This article briefly describes the scope and consequences of child sexual abuse and briefly critiques child-focused personal safety educational programs designed to prevent sexual victimization. The final section offers suggestions for expanding the focus of child-directed efforts and also includes recommendations for alternative approaches to primary prevention.","author":[{"dropping-particle":"","family":"Wurtele","given":"Sandy K","non-dropping-particle":"","parse-names":false,"suffix":""}],"container-title":"Journal of child sexual abuse","id":"ITEM-1","issue":"1","issued":{"date-parts":[["2009"]]},"page":"1-18","title":"Preventing sexual abuse of children in the twenty-first century: preparing for challenges and opportunities.","type":"article-journal","volume":"18"},"uris":["http://www.mendeley.com/documents/?uuid=9ae30c3f-b962-4701-a797-6666ad10dbd4"]}],"mendeley":{"formattedCitation":"(Wurtele, 2009)","plainTextFormattedCitation":"(Wurtele, 2009)","previouslyFormattedCitation":"(Wurtele, 2009)"},"properties":{"noteIndex":0},"schema":"https://github.com/citation-style-language/schema/raw/master/csl-citation.json"}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(Wurtele, 2009)</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difficulty for children to challenge authority (i.e., adults) leading to a report of abuse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{"citationItems":[{"id":"ITEM-1","itemData":{"DOI":"10.1177/1524838016675478","ISSN":"15528324","abstract":"Due to the high incidence, and widespread detrimental health consequences, of child sexual abuse (CSA), effective prevention remains at the forefront of public and mental health research, prevention and intervention agendas. To date much of the focus of prevention has been on school-based education programs designed to teach children skills to evade adult sexual advances, and disclose past or ongoing abuse. Evaluation of sexual abuse prevention programs demonstrate their effectiveness in increasing children's knowledge of CSA concepts and protection skills, but little is known about their effects on children's capacity to prevent abuse. Moreover, concerns persist about the unintended side-effects for young children such as anxiety, worry and wariness of touch. This paper summarizes the recent history of CSA prevention and the critique of child-focused protection programs in order to demonstrate the need to compliment or replace these programs by focusing more on protectors in the children's ecology, specifically parents, in order to create safer environments in which abuse is less likely to occur.","author":[{"dropping-particle":"","family":"Rudolph","given":"Julia","non-dropping-particle":"","parse-names":false,"suffix":""},{"dropping-particle":"","family":"Zimmer-Gembeck","given":"Melanie J.","non-dropping-particle":"","parse-names":false,"suffix":""}],"container-title":"Trauma, Violence, and Abuse","id":"ITEM-1","issue":"5","issued":{"date-parts":[["2018"]]},"page":"543-554","title":"Reviewing the focus: A summary and critique of child-focused sexual abuse prevention","type":"article-journal","volume":"19"},"uris":["http://www.mendeley.com/documents/?uuid=4e232c4a-7e10-4f04-8606-280460cb3e37"]}],"mendeley":{"formattedCitation":"(Rudolph &amp; Zimmer-Gembeck, 2018b)","plainTextFormattedCitation":"(Rudolph &amp; Zimmer-Gembeck, 2018b)","previouslyFormattedCitation":"(Rudolph &amp; Zimmer-Gembeck, 2018b)"},"properties":{"noteIndex":0},"schema":"https://github.com/citation-style-language/schema/raw/master/csl-citation.json"}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(Rudolph &amp; Zimmer-Gembeck, 2018b)</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as well as an inconclusive direct effect on disclosures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DOI":"10.1177/1049731515619705","ISSN":"1049-7315","author":[{"dropping-particle":"","family":"Walsh","given":"Kerryann","non-dropping-particle":"","parse-names":false,"suffix":""},{"dropping-particle":"","family":"Zwi","given":"Karen","non-dropping-particle":"","parse-names":false,"suffix":""},{"dropping-particle":"","family":"Woolfenden","given":"Susan","non-dropping-particle":"","parse-names":false,"suffix":""},{"dropping-particle":"","family":"Shlonsky","given":"Aron","non-dropping-particle":"","parse-names":false,"suffix":""}],"container-title":"Research on Social Work Practice","id":"ITEM-1","issue":"1","issued":{"date-parts":[["2018","12","21"]]},"page":"33-55","title":"School-based education programs for the prevention of child sexual abuse: A Cochrane systematic review and meta-analysis","type":"article-journal","volume":"28"},"uris":["http://www.mendeley.com/documents/?uuid=2336c0ff-45aa-4800-a66e-ed1b0175d729"]},{"id":"ITEM-2","itemData":{"DOI":"10.1016/j.chiabu.2018.05.024","ISSN":"18737757","PMID":"29902697","abstract":"Promoting young children's interpersonal safety knowledge, intentions confidence and skills is the goal of many child maltreatment prevention programs; however, evaluation of their effectiveness has been limited. In this study, a randomized controlled trial was conducted examining the effectiveness of the Australian protective behaviors program, Learn to be safe with Emmy and friends™ compared to a waitlist condition. In total, 611 Australian children in Grade 1 (5–7 years; 50% male) participated, with assessments at Pre-intervention, Post-intervention and a 6-month follow-up. This study also included a novel assessment of interpersonal safety skills through the Observed Protective Behaviors Test (OPBT). Analyses showed participating in Learn to be safe with Emmy and friends™ was effective post-program in improving interpersonal safety knowledge (child and parent-rated) and parent-rated interpersonal safety skills. These benefits were retained at the 6-month follow-up, with participating children also reporting increased disclosure confidence. However, Learn to be safe with Emmy and friends™ participation did not significantly impact children's disclosure intentions, safety identification skills, or interpersonal safety skills as measured by the OPBT. Future research may seek to evaluate the effect of further parent and teacher integration into training methods and increased use of behavioral rehearsal and modelling to more effectively target specific disclosure intentions and skills.","author":[{"dropping-particle":"","family":"White","given":"Codi","non-dropping-particle":"","parse-names":false,"suffix":""},{"dropping-particle":"","family":"Shanley","given":"Dianne C.","non-dropping-particle":"","parse-names":false,"suffix":""},{"dropping-particle":"","family":"Zimmer-Gembeck","given":"Melanie J.","non-dropping-particle":"","parse-names":false,"suffix":""},{"dropping-particle":"","family":"Walsh","given":"Kerryann","non-dropping-particle":"","parse-names":false,"suffix":""},{"dropping-particle":"","family":"Hawkins","given":"Russell","non-dropping-particle":"","parse-names":false,"suffix":""},{"dropping-particle":"","family":"Lines","given":"Katrina","non-dropping-particle":"","parse-names":false,"suffix":""},{"dropping-particle":"","family":"Webb","given":"Haley","non-dropping-particle":"","parse-names":false,"suffix":""}],"container-title":"Child Abuse and Neglect","id":"ITEM-2","issue":"May","issued":{"date-parts":[["2018"]]},"page":"144-155","publisher":"Elsevier","title":"Promoting young children's interpersonal safety knowledge, intentions, confidence, and protective behavior skills: Outcomes of a randomized controlled trial","type":"article-journal","volume":"82"},"uris":["http://www.mendeley.com/documents/?uuid=1327a862-9a1d-4071-a92b-143ca44825dd"]}],"mendeley":{"formattedCitation":"(Walsh, Zwi, Woolfenden, &amp; Shlonsky, 2018; White et al., 2018)","manualFormatting":"(Walsh et al., 2018; White et al., 2018)","plainTextFormattedCitation":"(Walsh, Zwi, Woolfenden, &amp; Shlonsky, 2018; White et al., 2018)","previouslyFormattedCitation":"(Walsh, Zwi, Woolfenden, &amp; Shlonsky, 2018; White et al., 2018)"},"properties":{"noteIndex":0},"schema":"https://github.com/citation-style-language/schema/raw/master/csl-citation.json"}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(Walsh et al., 2018; White et al., 2018)</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Primary prevention efforts also have targeted adults of the general community by raising CSA awareness, challenging social norms, and increasing knowledge about how to recognize signs of CSA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{"citationItems":[{"id":"ITEM-1","itemData":{"DOI":"10.1007/s11121-014-0499-6","ISBN":"1389-4986","ISSN":"13894986","PMID":"25015782","abstract":"Given the significant rates and deleterious consequences of childhood sexual abuse (CSA), identifying effective primary prevention approaches is a clear priority. There is a growing awareness that childcare professionals (e.g., teachers, childcare personnel, clergy) are in a unique position to engage in prevention efforts due to high accessibility to children and expertise in child development. However, CSA prevention programs targeting childcare professionals have received insufficient attention. The goal of this study was to conduct an independent multi-site controlled evaluation of an existing CSA prevention program, Stewards of Children, offered through both in-person and web-based formats. This study included 352 childcare professionals recruited from children's advocacy centers across three states. Participants were randomly assigned to one of three conditions: (1) in-person training, (2) web-based training, or (3) waitlist control. Dependent variables included CSA knowledge, CSA attitudes, and self-reported CSA preventive behaviors. Results indicated that Stewards impacted knowledge, attitudes, and preventive behaviors. No differences were found between training modalities (i.e., in-person versus web-based) on knowledge and preventive behaviors. Results indicate that brief trainings for childcare professionals may impact CSA prevention efforts.","author":[{"dropping-particle":"","family":"Rheingold","given":"Alyssa A.","non-dropping-particle":"","parse-names":false,"suffix":""},{"dropping-particle":"","family":"Zajac","given":"Kristyn","non-dropping-particle":"","parse-names":false,"suffix":""},{"dropping-particle":"","family":"Chapman","given":"Jason E.","non-dropping-particle":"","parse-names":false,"suffix":""},{"dropping-particle":"","family":"Patton","given":"Meghan","non-dropping-particle":"","parse-names":false,"suffix":""},{"dropping-particle":"","family":"Arellano","given":"Michael","non-dropping-particle":"de","parse-names":false,"suffix":""},{"dropping-particle":"","family":"Saunders","given":"Benjamin","non-dropping-particle":"","parse-names":false,"suffix":""},{"dropping-particle":"","family":"Kilpatrick","given":"Dean","non-dropping-particle":"","parse-names":false,"suffix":""}],"container-title":"Prevention Science","id":"ITEM-1","issue":"3","issued":{"date-parts":[["2015"]]},"page":"374-385","title":"Child sexual abuse prevention training for childcare professionals: An independent multi-site randomized controlled trail of Stewards of Children","type":"article-journal","volume":"16"},"uris":["http://www.mendeley.com/documents/?uuid=ec455272-3be3-47e6-8e93-ccede411525b"]}],"mendeley":{"formattedCitation":"(Rheingold et al., 2015)","plainTextFormattedCitation":"(Rheingold et al., 2015)","previouslyFormattedCitation":"(Rheingold et al., 2015)"},"properties":{"noteIndex":0},"schema":"https://github.com/citation-style-language/schema/raw/master/csl-citation.json"}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(Rheingold et al., 2015)</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Child-focused and community-based efforts have similarly failed to empirically demonstrate an effect on rates of CSA. Responsibility to prevent CSA cannot fall on only one group, especially children, and it is unlikely one strategy focused at one segment of the population will affect rates of CSA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DOI":"10.1037/0003-066X.58.6-7.441","author":[{"dropping-particle":"","family":"Wandersman","given":"Abraham","non-dropping-particle":"","parse-names":false,"suffix":""},{"dropping-particle":"","family":"Florin","given":"Paul","non-dropping-particle":"","parse-names":false,"suffix":""}],"container-title":"American Psychologist","id":"ITEM-1","issue":"6/7","issued":{"date-parts":[["2003"]]},"page":"441-448","title":"Community interventions and effective prevention","type":"article-journal","volume":"58"},"uris":["http://www.mendeley.com/documents/?uuid=5803da3e-ff91-4d15-9554-b26f80c7c762"]}],"mendeley":{"formattedCitation":"(Wandersman &amp; Florin, 2003)","plainTextFormattedCitation":"(Wandersman &amp; Florin, 2003)","previouslyFormattedCitation":"(Wandersman &amp; Florin, 2003)"},"properties":{"noteIndex":0},"schema":"https://github.com/citation-style-language/schema/raw/master/csl-citation.json"}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(Wandersman &amp; Florin, 2003)</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Broadening the scope of CSA primary prevention efforts will increase the odds of impacting overall CSA rates. A comprehensive CSA prevention strategy adopting a public health approach would include efforts at individual, relational, community, and societal levels. Notably absent from prevailing primary CSA prevention are parent-focused strategies. Leading researchers suggest that parents, situated at the relational level of a comprehensive strategy, have a notable influence on youth behavior and are most proximal to and are most aware of their children’s environments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DOI":"10.1007/s11121-015-0553-z","ISSN":"1389-4986","author":[{"dropping-particle":"","family":"Mendelson","given":"T","non-dropping-particle":"","parse-names":false,"suffix":""},{"dropping-particle":"","family":"Letourneau","given":"EJ","non-dropping-particle":"","parse-names":false,"suffix":""}],"container-title":"Prevention Science","id":"ITEM-1","issued":{"date-parts":[["2015"]]},"page":"844-852","title":"Parent-focused prevention of child sexual abuse","type":"article-journal","volume":"16"},"uris":["http://www.mendeley.com/documents/?uuid=67e4ffe6-d31e-4ed7-80dd-e0639226df8f"]},{"id":"ITEM-2","itemData":{"DOI":"10.1177/1077559517729479","ISBN":"1077-5595","ISSN":"1077-5595","PMID":"28920456","abstract":"To date, child sexual abuse (CSA) prevention has relied largely on child-focused education, teaching children how to identify, avoid, and disclose sexual abuse. The purpose of this article is to explore how prevention opportunities can include parents in new and innovative ways. We propose that parents can play a significant role as protectors of their children via two pathways: (i) directly, through the strong external barriers afforded by parent supervision, monitoring, and involvement; and (ii) indirectly, by promoting their children's self-efficacy, competence, well-being, and self-esteem, which the balance of evidence suggests will help them become less likely targets for abuse and more able to respond appropriately and disclose abuse if it occurs. In this article, we first describe why teaching young children about CSA protective behaviors might not be sufficient for prevention. We then narratively review the existing research on parents and prevention and the parenting and family circumstances that may increase a child's risk of experiencing sexual abuse. Finally, we make a number of recommendations for future approaches to prevention that may better inform and involve parents and other adult protectors in preventing CSA.","author":[{"dropping-particle":"","family":"Rudolph","given":"Julia","non-dropping-particle":"","parse-names":false,"suffix":""},{"dropping-particle":"","family":"Zimmer-Gembeck","given":"Melanie J.","non-dropping-particle":"","parse-names":false,"suffix":""},{"dropping-particle":"","family":"Shanley","given":"Dianne C.","non-dropping-particle":"","parse-names":false,"suffix":""},{"dropping-particle":"","family":"Hawkins","given":"Russell","non-dropping-particle":"","parse-names":false,"suffix":""}],"container-title":"Child Maltreatment","id":"ITEM-2","issue":"1","issued":{"date-parts":[["2018"]]},"page":"96-106","title":"Child sexual abuse prevention opportunities: Parenting, programs, and the reduction of risk","type":"article-journal","volume":"23"},"uris":["http://www.mendeley.com/documents/?uuid=546a1eff-b925-43cf-8cbe-9ea831153da5"]}],"mendeley":{"formattedCitation":"(Mendelson &amp; Letourneau, 2015; Rudolph, Zimmer-Gembeck, Shanley, &amp; Hawkins, 2018)","manualFormatting":"(Mendelson &amp; Letourneau, 2015; Rudolph et al., 2018)","plainTextFormattedCitation":"(Mendelson &amp; Letourneau, 2015; Rudolph, Zimmer-Gembeck, Shanley, &amp; Hawkins, 2018)","previouslyFormattedCitation":"(Mendelson &amp; Letourneau, 2015; Rudolph, Zimmer-Gembeck, Shanley, &amp; Hawkins, 2018)"},"properties":{"noteIndex":0},"schema":"https://github.com/citation-style-language/schema/raw/master/csl-citation.json"}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(Mendelson &amp; Letourneau, 2015; Rudolph et al., 2018)</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This paper describes a parent-focused CSA prevention strategy that, when included in a comprehensive prevention strategy, will increase the potential to decrease rates of CSA. </w:t>
      </w:r>
    </w:p>
    <w:p w14:paraId="7271F3C2" w14:textId="77777777" w:rsidR="007D3D49" w:rsidRPr="00A51941" w:rsidRDefault="007D3D49" w:rsidP="007D3D49">
      <w:pPr>
        <w:spacing w:after="0" w:line="480" w:lineRule="auto"/>
        <w:rPr>
          <w:rFonts w:ascii="Times New Roman" w:hAnsi="Times New Roman" w:cs="Times New Roman"/>
          <w:b/>
          <w:bCs/>
          <w:sz w:val="24"/>
          <w:szCs w:val="24"/>
        </w:rPr>
      </w:pPr>
      <w:r w:rsidRPr="00A51941">
        <w:rPr>
          <w:rFonts w:ascii="Times New Roman" w:hAnsi="Times New Roman" w:cs="Times New Roman"/>
          <w:b/>
          <w:bCs/>
          <w:sz w:val="24"/>
          <w:szCs w:val="24"/>
        </w:rPr>
        <w:t>Parents as Agents of Prevention</w:t>
      </w:r>
    </w:p>
    <w:p w14:paraId="18A14D52" w14:textId="77777777" w:rsidR="007D3D49" w:rsidRPr="00A51941" w:rsidRDefault="007D3D49" w:rsidP="007D3D49">
      <w:pPr>
        <w:spacing w:after="0" w:line="480" w:lineRule="auto"/>
        <w:ind w:firstLine="720"/>
        <w:rPr>
          <w:rFonts w:ascii="Times New Roman" w:hAnsi="Times New Roman" w:cs="Times New Roman"/>
          <w:sz w:val="24"/>
          <w:szCs w:val="24"/>
        </w:rPr>
      </w:pPr>
      <w:r w:rsidRPr="00A51941">
        <w:rPr>
          <w:rFonts w:ascii="Times New Roman" w:hAnsi="Times New Roman" w:cs="Times New Roman"/>
          <w:sz w:val="24"/>
          <w:szCs w:val="24"/>
        </w:rPr>
        <w:lastRenderedPageBreak/>
        <w:t xml:space="preserve">Incorporating parent-focused strategies into prevention efforts has empirical precedence across several public health issues affecting children including substance use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{"citationItems":[{"id":"ITEM-1","itemData":{"DOI":"DOI: 10.1023/A:1019994500301","ISSN":"1389-4986","PMID":"12387554","abstract":"The Adolescent Transitions Program (ATP) promotes student adjustment and reduces risk within a public school setting, focusing primarily on parenting practices using a tiered, multilevel prevention strategy. A description is given of the program, levels of engagement, and intervention effects. Within each school, multiethnic students (N = 672) and their families were randomly assigned at the individual level to a control condition or the ATP intervention. Analyses focus on the longitudinal effects of the ATP intervention on self-reported substance use through middle school and the 1st year of high school (Grades 6, 7, 8, and 9). Levels of engagement in the selected and indicated interventions were somewhat less than expected. Despite relatively low levels of engagement, the intervention reduced initiation of substance use in both at-risk and typically developing students. These findings are discussed with respect to lessons learned about parent engagement, optimizing strategies for schoolwide implementation, and the promise of embedding family interventions within the public school ecology.","author":[{"dropping-particle":"","family":"Dishion","given":"Thomas J","non-dropping-particle":"","parse-names":false,"suffix":""},{"dropping-particle":"","family":"Kavanagh","given":"Kathryn","non-dropping-particle":"","parse-names":false,"suffix":""},{"dropping-particle":"","family":"Schneiger","given":"Alison","non-dropping-particle":"","parse-names":false,"suffix":""},{"dropping-particle":"","family":"Nelson","given":"Sarah","non-dropping-particle":"","parse-names":false,"suffix":""},{"dropping-particle":"","family":"Kaufman","given":"Noah K","non-dropping-particle":"","parse-names":false,"suffix":""}],"container-title":"Prevention Science","id":"ITEM-1","issue":"3","issued":{"date-parts":[["2002"]]},"page":"191-201","title":"Preventing early adolescent substance use: A family-centered strategy for the public middle school.","type":"article-journal","volume":"3"},"uris":["http://www.mendeley.com/documents/?uuid=536e0f7b-b73d-41f6-8e12-c399a266407d"]}],"mendeley":{"formattedCitation":"(Dishion, Kavanagh, Schneiger, Nelson, &amp; Kaufman, 2002)","manualFormatting":"(Dishion et al., 2002)","plainTextFormattedCitation":"(Dishion, Kavanagh, Schneiger, Nelson, &amp; Kaufman, 2002)","previouslyFormattedCitation":"(Dishion, Kavanagh, Schneiger, Nelson, &amp; Kaufman, 2002)"},"properties":{"noteIndex":0},"schema":"https://github.com/citation-style-language/schema/raw/master/csl-citation.json"}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(Dishion et al., 2002)</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and delinquency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{"citationItems":[{"id":"ITEM-1","itemData":{"author":[{"dropping-particle":"","family":"Mason","given":"W. Alex","non-dropping-particle":"","parse-names":false,"suffix":""},{"dropping-particle":"","family":"Kosterman","given":"Rick","non-dropping-particle":"","parse-names":false,"suffix":""},{"dropping-particle":"","family":"Hawkins","given":"J. David","non-dropping-particle":"","parse-names":false,"suffix":""},{"dropping-particle":"","family":"Haggerty","given":"Kevin P.","non-dropping-particle":"","parse-names":false,"suffix":""},{"dropping-particle":"","family":"Spoth","given":"Richard L.","non-dropping-particle":"","parse-names":false,"suffix":""}],"container-title":"Prevention Science","id":"ITEM-1","issue":"3","issued":{"date-parts":[["2003"]]},"page":"203-212","title":"Reducing adolescents growth in substance use and delinquency: Randomized trial effects of parent training prevention intervention","type":"article-journal","volume":"4"},"uris":["http://www.mendeley.com/documents/?uuid=8db0589e-f91a-41ec-94fe-ebf556011c61"]}],"mendeley":{"formattedCitation":"(Mason, Kosterman, Hawkins, Haggerty, &amp; Spoth, 2003)","manualFormatting":"(Mason, et. al., 2003)","plainTextFormattedCitation":"(Mason, Kosterman, Hawkins, Haggerty, &amp; Spoth, 2003)","previouslyFormattedCitation":"(Mason, Kosterman, Hawkins, Haggerty, &amp; Spoth, 2003)"},"properties":{"noteIndex":0},"schema":"https://github.com/citation-style-language/schema/raw/master/csl-citation.json"}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(Mason, et. al., 2003)</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Further, parents are the primary foci of programs designed to prevent other forms of maltreatment (i.e., physical abuse and neglect) and some programs have achieved the gold standard of reducing rates of those forms of maltreatment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{"citationItems":[{"id":"ITEM-1","itemData":{"DOI":"peds.2011-1840 [pii] 10.1542/peds.2011-1840","ISBN":"1098-4275 (Electronic)\\r0031-4005 (Linking)","ISSN":"0031-4005","PMID":"22351883","abstract":"OBJECTIVES: In this trial, we compared Child Protective Services (CPS) recidivism outcomes between the home-based SafeCare (SC) model for child neglect and comparable home-based services, but without SC modules, for parents in the CPS system across 2 quality control strategies: coached (C) and uncoached implementation. SC is a home-based behavioral skills training model designed for neglecting or maltreating parents. The study was conducted in a scaled-up, statewide implementation setting. METHODS: Two thousand one hundred seventy-five maltreating parents, treated by 219 home visitors, were enrolled and treated in a 2 x 2 (SC versus services as usual x C versus uncoached implementation strategy) randomized cluster experiment. Cases were followed for an average of 6 years for CPS recidivism events. Subpopulation analyses were conducted for parents meeting customary SC inclusion criteria. RESULTS: Consistently significant main effects in favor of SC were found across simple and more complex modeling approaches (hazard ratios = 0.74-0.83). Larger effects were found among the subpopulation meeting customary SC inclusion criteria. C implementation yielded smaller and occasionally significant effects in analyses that included more diverse cases falling outside customary SC inclusion criteria. CONCLUSIONS: Findings support the adoption and use of SC within CPS home-based services systems. C implementation may be especially valuable for cases where the client-model fit is less strong.","author":[{"dropping-particle":"","family":"Chaffin","given":"Mark J.","non-dropping-particle":"","parse-names":false,"suffix":""},{"dropping-particle":"","family":"Hecht","given":"D","non-dropping-particle":"","parse-names":false,"suffix":""},{"dropping-particle":"","family":"Bard","given":"D","non-dropping-particle":"","parse-names":false,"suffix":""},{"dropping-particle":"","family":"Silovsky","given":"J F","non-dropping-particle":"","parse-names":false,"suffix":""},{"dropping-particle":"","family":"Beasley","given":"W H","non-dropping-particle":"","parse-names":false,"suffix":""}],"container-title":"Pediatrics","id":"ITEM-1","issue":"3","issued":{"date-parts":[["2012"]]},"page":"509-515","title":"A statewide trial of the SafeCare home-based services model with parents in Child Protective Services","type":"article-journal","volume":"129"},"uris":["http://www.mendeley.com/documents/?uuid=05c0503a-4bdc-4a2f-a33e-c36bf45a6136"]},{"id":"ITEM-2","itemData":{"author":[{"dropping-particle":"","family":"Reid","given":"Jamila","non-dropping-particle":"","parse-names":false,"suffix":""},{"dropping-particle":"","family":"Webster-Stratton","given":"Carolyn","non-dropping-particle":"","parse-names":false,"suffix":""}],"container-title":"Cognitive and Behavioral Practice","id":"ITEM-2","issue":"4","issued":{"date-parts":[["2001"]]},"page":"377-386","title":"The Incredible Years parent, teacher, and child intervention: Targeting multiple areas of risk for a young child with pervasive conduct problems using a flexible, manualized treatment program","type":"article-journal","volume":"8"},"uris":["http://www.mendeley.com/documents/?uuid=9a3d875b-e87c-44f0-9a69-07a813d38ef1"]},{"id":"ITEM-3","itemData":{"DOI":"10.1007/s11121-016-0631-x","ISBN":"1389-4986 (Print)\\n1389-4986 (Linking)","ISSN":"13894986","PMID":"19160053","abstract":"The prevention of child maltreatment necessitates a public health approach. In the U.S. Triple P System Population Trial, 18 counties were randomly assigned to either dissemination of the Triple P-Positive Parenting Program system or to the services-as-usual control condition. Dissemination involved Triple P professional training for the existing workforce (over 600 service providers), as well as universal media and communication strategies. Large effect sizes were found for three independently derived population indicators: substantiated child maltreatment, child out-of-home placements, and child maltreatment injuries. This study is the first to randomize geographical areas and show preventive impact on child maltreatment at a population level using evidence-based parenting interventions.","author":[{"dropping-particle":"","family":"Prinz","given":"Ronald J.","non-dropping-particle":"","parse-names":false,"suffix":""},{"dropping-particle":"","family":"Sanders","given":"Matthew R.","non-dropping-particle":"","parse-names":false,"suffix":""},{"dropping-particle":"","family":"Shapiro","given":"Cheri J.","non-dropping-particle":"","parse-names":false,"suffix":""},{"dropping-particle":"","family":"Whitaker","given":"Daniel J.","non-dropping-particle":"","parse-names":false,"suffix":""},{"dropping-particle":"","family":"Lutzker","given":"John R.","non-dropping-particle":"","parse-names":false,"suffix":""}],"container-title":"Prevention Science","id":"ITEM-3","issued":{"date-parts":[["2009"]]},"page":"1-12","title":"Population-based prevention of child maltreatment: The U.S. Triple P system population trial","type":"article-journal","volume":"10"},"uris":["http://www.mendeley.com/documents/?uuid=97af4e02-26e6-4247-9afa-5cabe250a68f"]}],"mendeley":{"formattedCitation":"(Chaffin, Hecht, Bard, Silovsky, &amp; Beasley, 2012; Prinz, Sanders, Shapiro, Whitaker, &amp; Lutzker, 2009; Reid &amp; Webster-Stratton, 2001)","manualFormatting":"(Chaffin et al., 2012; Prinz et al., 2009; Reid &amp; Webster-Stratton, 2001)","plainTextFormattedCitation":"(Chaffin, Hecht, Bard, Silovsky, &amp; Beasley, 2012; Prinz, Sanders, Shapiro, Whitaker, &amp; Lutzker, 2009; Reid &amp; Webster-Stratton, 2001)","previouslyFormattedCitation":"(Chaffin, Hecht, Bard, Silovsky, &amp; Beasley, 2012; Prinz, Sanders, Shapiro, Whitaker, &amp; Lutzker, 2009; Reid &amp; Webster-Stratton, 2001)"},"properties":{"noteIndex":0},"schema":"https://github.com/citation-style-language/schema/raw/master/csl-citation.json"}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(Chaffin et al., 2012; Prinz et al., 2009; Reid &amp; Webster-Stratton, 2001)</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The effects of generalized parent training programs on rates of CSA has been negligible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{"citationItems":[{"id":"ITEM-1","itemData":{"author":[{"dropping-particle":"","family":"Selph","given":"Shelley S.","non-dropping-particle":"","parse-names":false,"suffix":""},{"dropping-particle":"","family":"Bougatsos","given":"Christina","non-dropping-particle":"","parse-names":false,"suffix":""},{"dropping-particle":"","family":"Blazina","given":"Ian","non-dropping-particle":"","parse-names":false,"suffix":""},{"dropping-particle":"","family":"Nelson","given":"Heidi D","non-dropping-particle":"","parse-names":false,"suffix":""}],"container-title":"Annals of Internal Medicine","id":"ITEM-1","issue":"3","issued":{"date-parts":[["2013"]]},"page":"179-190","title":"Behavioral interventions and counseling to prevent child abuse and neglect: a systematic review to update the U.S. Preventive Task Force recommendation","type":"article-journal","volume":"158"},"uris":["http://www.mendeley.com/documents/?uuid=dbf1ff97-8616-4394-af10-e167e7b8d139"]}],"mendeley":{"formattedCitation":"(Selph, Bougatsos, Blazina, &amp; Nelson, 2013)","manualFormatting":"(Selph, et. al., 2013)","plainTextFormattedCitation":"(Selph, Bougatsos, Blazina, &amp; Nelson, 2013)","previouslyFormattedCitation":"(Selph, Bougatsos, Blazina, &amp; Nelson, 2013)"},"properties":{"noteIndex":0},"schema":"https://github.com/citation-style-language/schema/raw/master/csl-citation.json"}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(Selph, et. al., 2013)</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which is not surprising given these programs do not include content specific to CSA prevention such as healthy sexual development, strategies for parents to use when discussing sex or sexual behaviors, internet safety, or vetting a babysitter. Moreover, there is considerable evidence that CSA has a unique etiology. For example, CSA is less likely to be perpetrated by family members with 64% of perpetrators being non-familial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{"citationItems":[{"id":"ITEM-1","itemData":{"abstract":"The Office of Juvenile Justice and Delinquency Prevention (OJJDP) is committed to improving the justice system's response to crimes against children. OJJDP recognizes that children are at increased risk for crime victimization . Not only are children the victims of many of the same crimes that vicitmize adults, they are subject to other crimes, like child abuse and neglect, that are specific to childhood. The impact of these crimes on young victims can be devestating, and the violent or sexual victimization of children can often lead to an intergenerational cycle of violence and abuse. The purpose of OJJDP's Crimes Against Children Series is to improve and expand the Nation's efforts to better serve child victims by presenting the latest information about child victimization, including analyses of crime victimization statistics, studies of child victims and their special needs, and descriptions of programs and approaches that address these needs.","author":[{"dropping-particle":"","family":"Finkelhor","given":"David","non-dropping-particle":"","parse-names":false,"suffix":""},{"dropping-particle":"","family":"Shattuck","given":"Anne","non-dropping-particle":"","parse-names":false,"suffix":""}],"id":"ITEM-1","issued":{"date-parts":[["2012"]]},"number-of-pages":"1-8","publisher-place":"Durham, NH","title":"Characteristics of crimes against juveniles","type":"report"},"uris":["http://www.mendeley.com/documents/?uuid=598c26d6-bbfb-4c4a-b049-6e4134a7ce36"]}],"mendeley":{"formattedCitation":"(Finkelhor &amp; Shattuck, 2012)","plainTextFormattedCitation":"(Finkelhor &amp; Shattuck, 2012)","previouslyFormattedCitation":"(Finkelhor &amp; Shattuck, 2012)"},"properties":{"noteIndex":0},"schema":"https://github.com/citation-style-language/schema/raw/master/csl-citation.json"}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(Finkelhor &amp; Shattuck, 2012)</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as compared to 28% and 8% for perpetrators of physical abuse and neglect, respectively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{"citationItems":[{"id":"ITEM-1","itemData":{"DOI":"10.1037/e659872010-001","abstract":"NIS serves as the nation's needs assessment on child abuse and neglect. NIS includes children who were investigated by CPS agencies and of children who were not reported to CPS or who were screened out by CPS without an investigation.","author":[{"dropping-particle":"","family":"Sedlak","given":"Andrea J.","non-dropping-particle":"","parse-names":false,"suffix":""},{"dropping-particle":"","family":"Mettenburg","given":"Jane","non-dropping-particle":"","parse-names":false,"suffix":""},{"dropping-particle":"","family":"Basena","given":"Monica","non-dropping-particle":"","parse-names":false,"suffix":""},{"dropping-particle":"","family":"Petta","given":"Ian","non-dropping-particle":"","parse-names":false,"suffix":""},{"dropping-particle":"","family":"McPherson","given":"Karla","non-dropping-particle":"","parse-names":false,"suffix":""},{"dropping-particle":"","family":"Greene","given":"Angela","non-dropping-particle":"","parse-names":false,"suffix":""},{"dropping-particle":"","family":"Li","given":"Spencer","non-dropping-particle":"","parse-names":false,"suffix":""}],"id":"ITEM-1","issued":{"date-parts":[["2010"]]},"publisher-place":"Washington, D.C.","title":"Fourth National Incidence Study of Child Abuse and Neglect (NIS – 4): Report to Congress","type":"report"},"uris":["http://www.mendeley.com/documents/?uuid=3d0a8468-da88-4934-a345-494caf91a6b5"]}],"mendeley":{"formattedCitation":"(Sedlak et al., 2010)","plainTextFormattedCitation":"(Sedlak et al., 2010)","previouslyFormattedCitation":"(Sedlak et al., 2010)"},"properties":{"noteIndex":0},"schema":"https://github.com/citation-style-language/schema/raw/master/csl-citation.json"}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(Sedlak et al., 2010)</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The age of elevated risk for CSA also differs, the median age being 9 years old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{"citationItems":[{"id":"ITEM-1","itemData":{"DOI":"10.1037/e659872010-001","abstract":"NIS serves as the nation's needs assessment on child abuse and neglect. NIS includes children who were investigated by CPS agencies and of children who were not reported to CPS or who were screened out by CPS without an investigation.","author":[{"dropping-particle":"","family":"Sedlak","given":"Andrea J.","non-dropping-particle":"","parse-names":false,"suffix":""},{"dropping-particle":"","family":"Mettenburg","given":"Jane","non-dropping-particle":"","parse-names":false,"suffix":""},{"dropping-particle":"","family":"Basena","given":"Monica","non-dropping-particle":"","parse-names":false,"suffix":""},{"dropping-particle":"","family":"Petta","given":"Ian","non-dropping-particle":"","parse-names":false,"suffix":""},{"dropping-particle":"","family":"McPherson","given":"Karla","non-dropping-particle":"","parse-names":false,"suffix":""},{"dropping-particle":"","family":"Greene","given":"Angela","non-dropping-particle":"","parse-names":false,"suffix":""},{"dropping-particle":"","family":"Li","given":"Spencer","non-dropping-particle":"","parse-names":false,"suffix":""}],"id":"ITEM-1","issued":{"date-parts":[["2010"]]},"publisher-place":"Washington, D.C.","title":"Fourth National Incidence Study of Child Abuse and Neglect (NIS – 4): Report to Congress","type":"report"},"uris":["http://www.mendeley.com/documents/?uuid=3d0a8468-da88-4934-a345-494caf91a6b5"]}],"mendeley":{"formattedCitation":"(Sedlak et al., 2010)","plainTextFormattedCitation":"(Sedlak et al., 2010)","previouslyFormattedCitation":"(Sedlak et al., 2010)"},"properties":{"noteIndex":0},"schema":"https://github.com/citation-style-language/schema/raw/master/csl-citation.json"}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(Sedlak et al., 2010)</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in contrast to 3 years old for physical abuse and neglect (DHHS, 2020). Whereas physical abuse and neglect stem from parental behavior deficits, CSA is a product of opportunity and exploitation occurring most commonly in environments where children are unsupervised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{"citationItems":[{"id":"ITEM-1","itemData":{"author":[{"dropping-particle":"","family":"Snyder","given":"Howard N.","non-dropping-particle":"","parse-names":false,"suffix":""}],"id":"ITEM-1","issued":{"date-parts":[["2000"]]},"publisher-place":"Washington, D.C.","title":"Sexual assault of young children as reported to law enforcement: Victim, incident, and offender characteristics","type":"report"},"uris":["http://www.mendeley.com/documents/?uuid=60958658-02cd-46b5-b986-3f42e8aa7153"]}],"mendeley":{"formattedCitation":"(Snyder, 2000)","plainTextFormattedCitation":"(Snyder, 2000)","previouslyFormattedCitation":"(Snyder, 2000)"},"properties":{"noteIndex":0},"schema":"https://github.com/citation-style-language/schema/raw/master/csl-citation.json"}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(Snyder, 2000)</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Whereas neglect may be evident from observation of children’s physical environments or appearance, and physical abuse may be proven by bodily injuries, there are not always outward signs of CSA. Instead, CSA detection commonly requires explicit disclosure by the victim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{"citationItems":[{"id":"ITEM-1","itemData":{"DOI":"10.1016/S0272-7358(01)00091-5","ISSN":"02727358","abstract":"Self-disclosure by victims of child sexual abuse (CSA) is critical to initiate legal and therapeutic intervention. Unfortunately, research indicates that lengthy delays in disclosure and even nondisclosure are common. A comprehensive review of the clinical and research literature on CSA and an overview of related bodies of literature was conducted. Areas addressed include the context of sexual abuse as it relates to disclosure, the context and elements of children's disclosures, motivational factors inhibiting disclosure, and models of the disclosure process. Ancillary and analogue research on secrecy and disclosure are also reviewed. Implications for future research and practice are discussed. © 2001 Elsevier Science Ltd. All rights reserved.","author":[{"dropping-particle":"","family":"Paine","given":"Mary L.","non-dropping-particle":"","parse-names":false,"suffix":""},{"dropping-particle":"","family":"Hansen","given":"David J.","non-dropping-particle":"","parse-names":false,"suffix":""}],"container-title":"Clinical Psychology Review","id":"ITEM-1","issue":"2","issued":{"date-parts":[["2002"]]},"page":"271-295","title":"Factors influencing children to self-disclose sexual abuse","type":"article-journal","volume":"22"},"uris":["http://www.mendeley.com/documents/?uuid=14af2534-f542-43b0-a32c-ffe71f44e407"]}],"mendeley":{"formattedCitation":"(Paine &amp; Hansen, 2002)","plainTextFormattedCitation":"(Paine &amp; Hansen, 2002)","previouslyFormattedCitation":"(Paine &amp; Hansen, 2002)"},"properties":{"noteIndex":0},"schema":"https://github.com/citation-style-language/schema/raw/master/csl-citation.json"}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(Paine &amp; Hansen, 2002)</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which is not always immediate, sometimes surpassing 20 years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{"citationItems":[{"id":"ITEM-1","itemData":{"DOI":"10.1177/1077559504264263","ISSN":"10775595","abstract":"Information about abuse characteristics, disclosure, and current social support was collected through semistructured interviews and questionnaires from 122 adult women reporting exposure to child sexual abuse by someone close. Women who used an active disclosure strategy in childhood reported more physical and violent abuse. Moreover, women who reported more severe abuse had more often received negative reactions from the social network. Furthermore, a relation was found between current social support and positive - but not negative - reactions.","author":[{"dropping-particle":"","family":"Jonzon","given":"Eva","non-dropping-particle":"","parse-names":false,"suffix":""},{"dropping-particle":"","family":"Lindblad","given":"Frank","non-dropping-particle":"","parse-names":false,"suffix":""}],"container-title":"Child Maltreatment","id":"ITEM-1","issue":"2","issued":{"date-parts":[["2004"]]},"page":"190-200","title":"Disclosure, reactions, and social support: Findings from a sample of adult victims of child sexual abuse","type":"article-journal","volume":"9"},"uris":["http://www.mendeley.com/documents/?uuid=8669c6e4-2fba-4d7b-88dd-8e9aeef4c859"]}],"mendeley":{"formattedCitation":"(Jonzon &amp; Lindblad, 2004)","plainTextFormattedCitation":"(Jonzon &amp; Lindblad, 2004)","previouslyFormattedCitation":"(Jonzon &amp; Lindblad, 2004)"},"properties":{"noteIndex":0},"schema":"https://github.com/citation-style-language/schema/raw/master/csl-citation.json"}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(Jonzon &amp; Lindblad, 2004)</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w:t>
      </w:r>
    </w:p>
    <w:p w14:paraId="7F1FEF5E" w14:textId="77777777" w:rsidR="007D3D49" w:rsidRPr="00A51941" w:rsidRDefault="007D3D49" w:rsidP="007D3D49">
      <w:pPr>
        <w:spacing w:after="0" w:line="480" w:lineRule="auto"/>
        <w:ind w:firstLine="720"/>
        <w:rPr>
          <w:rFonts w:ascii="Times New Roman" w:hAnsi="Times New Roman" w:cs="Times New Roman"/>
          <w:sz w:val="24"/>
          <w:szCs w:val="24"/>
        </w:rPr>
      </w:pPr>
      <w:r w:rsidRPr="00A51941">
        <w:rPr>
          <w:rFonts w:ascii="Times New Roman" w:hAnsi="Times New Roman" w:cs="Times New Roman"/>
          <w:sz w:val="24"/>
          <w:szCs w:val="24"/>
        </w:rPr>
        <w:lastRenderedPageBreak/>
        <w:t xml:space="preserve">Despite high rates of co-occurrence with other maltreatment types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{"citationItems":[{"id":"ITEM-1","itemData":{"DOI":"10.1001/jamapsychiatry.2015.1792","author":[{"dropping-particle":"","family":"Vachon","given":"David D.","non-dropping-particle":"","parse-names":false,"suffix":""},{"dropping-particle":"","family":"Krueger","given":"Robert F.","non-dropping-particle":"","parse-names":false,"suffix":""},{"dropping-particle":"","family":"Rogosch","given":"Fred A.","non-dropping-particle":"","parse-names":false,"suffix":""},{"dropping-particle":"","family":"Cicchetti","given":"Dante","non-dropping-particle":"","parse-names":false,"suffix":""}],"container-title":"JAMA Psychiatry","id":"ITEM-1","issued":{"date-parts":[["2015"]]},"page":"E1-E9","title":"Assessment of the Harmful Psychiatric and Behavioral Effects of Different Forms of Child Maltreatment","type":"article-journal"},"uris":["http://www.mendeley.com/documents/?uuid=c25302ef-4c36-4408-bbc2-b5c6d18ab379"]},{"id":"ITEM-2","itemData":{"DOI":"10.1017/CBO9781107415324.004","ISBN":"9788578110796","ISSN":"1098-6596","PMID":"25246403","author":[{"dropping-particle":"","family":"Finkelhor","given":"David","non-dropping-particle":"","parse-names":false,"suffix":""},{"dropping-particle":"","family":"Saito","given":"Kei","non-dropping-particle":"","parse-names":false,"suffix":""},{"dropping-particle":"","family":"Jones","given":"Lisa","non-dropping-particle":"","parse-names":false,"suffix":""}],"id":"ITEM-2","issued":{"date-parts":[["2020"]]},"publisher-place":"Durham, NH","title":"Updated trends in Child Maltreatment, 2018","type":"report"},"uris":["http://www.mendeley.com/documents/?uuid=0bb111bd-eb74-4b52-b263-4961e3236a49"]},{"id":"ITEM-3","itemData":{"DOI":"10.1016/j.comppsych.2012.05.010","ISBN":"0010-440X","ISSN":"0010440X","PMID":"22854279","abstract":"Background: This study examines the prevalence, correlates, and psychiatric disorders of adults with history of child sexual abuse (CSA). Methods: Data were derived from a large national sample of the US population. More than 34 000 adults 18 years and older residing in households were interviewed face-to-face in a survey conducted during the 2004-2005 period. Diagnoses were based on the Alcohol Use Disorder and Associated Disabilities Interview Schedule-Diagnostic and Statistical Manual of Mental Disorders, Fourth Edition, version. Weighted means, frequencies, and odds ratios of sociodemographic correlates and prevalence of psychiatric disorders were computed. Logistic regression models were used to examine the strength of associations between CSA and psychiatric disorders, adjusted for sociodemographic characteristics, risk factors, and other Axis I psychiatric disorders. Results: The prevalence of CSA was 10.14% (24.8% in men and 75.2% in women). Child physical abuse, maltreatment, and neglect were more prevalent among individuals with CSA than among those without it. Adults with CSA history had significantly higher rates of any Axis I disorder and suicide attempts. The frequency, type, and number of CSA were significantly correlated with psychopathology. Conclusions: The high correlation rates of CSA with psychopathology and increased risk for suicide attempts in adulthood suggest the need for a systematic assessment of psychiatric disorders and suicide risk in these individuals. The risk factors for CSA emphasize the need for health care initiatives geared toward increasing recognition and development of treatment approaches for the emotional sequelae CSA as well as early preventive approaches. © 2013 Published by Elsevier Inc. All rights reserved.","author":[{"dropping-particle":"","family":"Pérez-Fuentes","given":"Gabriela","non-dropping-particle":"","parse-names":false,"suffix":""},{"dropping-particle":"","family":"Olfson","given":"Mark","non-dropping-particle":"","parse-names":false,"suffix":""},{"dropping-particle":"","family":"Villegas","given":"Laura","non-dropping-particle":"","parse-names":false,"suffix":""},{"dropping-particle":"","family":"Morcillo","given":"Carmen","non-dropping-particle":"","parse-names":false,"suffix":""},{"dropping-particle":"","family":"Wang","given":"Shuai","non-dropping-particle":"","parse-names":false,"suffix":""},{"dropping-particle":"","family":"Blanco","given":"Carlos","non-dropping-particle":"","parse-names":false,"suffix":""}],"container-title":"Comprehensive Psychiatry","id":"ITEM-3","issue":"1","issued":{"date-parts":[["2013"]]},"page":"16-27","publisher":"Elsevier Inc.","title":"Prevalence and correlates of child sexual abuse: A national study","type":"article-journal","volume":"54"},"uris":["http://www.mendeley.com/documents/?uuid=9d0b8252-7956-48a3-afc2-3a3fc0b1d865"]}],"mendeley":{"formattedCitation":"(Finkelhor et al., 2020; Pérez-Fuentes et al., 2013; Vachon, Krueger, Rogosch, &amp; Cicchetti, 2015)","manualFormatting":"(Finkelhor et al., 2020; Pérez-Fuentes et al., 2013; Vachon et al., 2015)","plainTextFormattedCitation":"(Finkelhor et al., 2020; Pérez-Fuentes et al., 2013; Vachon, Krueger, Rogosch, &amp; Cicchetti, 2015)","previouslyFormattedCitation":"(Finkelhor et al., 2020; Pérez-Fuentes et al., 2013; Vachon, Krueger, Rogosch, &amp; Cicchetti, 2015)"},"properties":{"noteIndex":0},"schema":"https://github.com/citation-style-language/schema/raw/master/csl-citation.json"}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(Finkelhor et al., 2020; Pérez-Fuentes et al., 2013; Vachon et al., 2015)</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the unique features of CSA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{"citationItems":[{"id":"ITEM-1","itemData":{"DOI":"10.1111/jora.12436","ISSN":"10508392","abstract":"Abstract This study tested sexual abuse as a unique predictor of subsequent adolescent sexual behaviors, pregnancy, and motherhood when in company with other types of maltreatment (physical abuse, neglect) and alternative behavioral, family, and contextual risk factors in a prospective, longitudinal study of maltreated (n = 275) and comparison (n = 239) nulliparous females aged 14–19 years old assessed annually through 19 years old. Hierarchical regression was used to disentangle risk factors that account for the associations of maltreatment type on risky sexual behaviors at 19 years old, adolescent pregnancy, and adolescent motherhood. Findings indicate that sexual and physical abuse remain significant predictors of risky sexual behaviors, and that sexual abuse remains a significant predictor of adolescent motherhood when alternative explanatory variables are controlled.","author":[{"dropping-particle":"","family":"Noll","given":"Jennie G","non-dropping-particle":"","parse-names":false,"suffix":""},{"dropping-particle":"","family":"Guastaferro","given":"Kate","non-dropping-particle":"","parse-names":false,"suffix":""},{"dropping-particle":"","family":"Beal","given":"Sarah J","non-dropping-particle":"","parse-names":false,"suffix":""},{"dropping-particle":"","family":"Schreier","given":"Hannah M C","non-dropping-particle":"","parse-names":false,"suffix":""},{"dropping-particle":"","family":"Barnes","given":"Jaclyn","non-dropping-particle":"","parse-names":false,"suffix":""},{"dropping-particle":"","family":"Reader","given":"Jonathan M","non-dropping-particle":"","parse-names":false,"suffix":""},{"dropping-particle":"","family":"Font","given":"Sarah A","non-dropping-particle":"","parse-names":false,"suffix":""}],"container-title":"Journal of Research on Adolescence","id":"ITEM-1","issued":{"date-parts":[["2018"]]},"page":"1-17","title":"Is sexual abuse a unique predictor of sexual risk behaviors, pregnancy, and motherhood in adolescence?","type":"article-journal"},"uris":["http://www.mendeley.com/documents/?uuid=aefb9b41-2720-4c2a-b5c5-fb41eb97b48f"]}],"mendeley":{"formattedCitation":"(Noll et al., 2018)","plainTextFormattedCitation":"(Noll et al., 2018)","previouslyFormattedCitation":"(Noll et al., 2018)"},"properties":{"noteIndex":0},"schema":"https://github.com/citation-style-language/schema/raw/master/csl-citation.json"}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(Noll et al., 2018)</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necessitate a nuanced parent-focused prevention approach. For example, CSA prevention requires parents to monitor the access that others have to their children both online and in-person given that most perpetrators are known by the victim and/or trusted by the family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{"citationItems":[{"id":"ITEM-1","itemData":{"author":[{"dropping-particle":"","family":"Snyder","given":"Howard N.","non-dropping-particle":"","parse-names":false,"suffix":""}],"id":"ITEM-1","issued":{"date-parts":[["2000"]]},"publisher-place":"Washington, D.C.","title":"Sexual assault of young children as reported to law enforcement: Victim, incident, and offender characteristics","type":"report"},"uris":["http://www.mendeley.com/documents/?uuid=60958658-02cd-46b5-b986-3f42e8aa7153"]}],"mendeley":{"formattedCitation":"(Snyder, 2000)","plainTextFormattedCitation":"(Snyder, 2000)","previouslyFormattedCitation":"(Snyder, 2000)"},"properties":{"noteIndex":0},"schema":"https://github.com/citation-style-language/schema/raw/master/csl-citation.json"}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(Snyder, 2000)</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Parents must also be knowledgeable about child development, age-appropriate behaviors, and affect, as changes to a child’s developmental trajectory (e.g., normative and non-normative sexual developmental milestones) may suggest the child is being exploited sexually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{"citationItems":[{"id":"ITEM-1","itemData":{"DOI":"10.1016/S0891-5245(03)00154-8","ISSN":"08915245","abstract":"Sexual abuse is a problem of epidemic proportions in the United States. Given the scope of the problem of sexual abuse and the amount of media attention it receives, it is not unusual for parents or caretakers who witness a child exhibiting sexual behavior to become alarmed. Primary care providers, including pediatric nurse practitioners, may be the first professional parents contact with concerns regarding a child's sexual behavior. It is imperative that primary care providers understand childhood sexuality and respond appropriately when confronted with child sexual behaviors in their practice. Although the literature includes little research on the subject of normal child sexual development, certain guidelines have been identified to describe normal child sexual behaviors and those of concern. Case studies illustrate the response of two primary care providers when they are confronted with sexual behaviors in their patients. Implications for practice are discussed, with examples and guidelines provided for primary care providers to use when evaluating sexual behavior in their pediatric patients.","author":[{"dropping-particle":"","family":"Hornor","given":"Gail","non-dropping-particle":"","parse-names":false,"suffix":""}],"container-title":"Journal of Pediatric Health Care","id":"ITEM-1","issue":"2","issued":{"date-parts":[["2004"]]},"page":"57-64","title":"Sexual behavior in children: Normal or not?","type":"article-journal","volume":"18"},"uris":["http://www.mendeley.com/documents/?uuid=0f1e1ffa-1b83-495c-8d5e-1b677fd5bf65"]}],"mendeley":{"formattedCitation":"(Hornor, 2004)","plainTextFormattedCitation":"(Hornor, 2004)","previouslyFormattedCitation":"(Hornor, 2004)"},"properties":{"noteIndex":0},"schema":"https://github.com/citation-style-language/schema/raw/master/csl-citation.json"}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(Hornor, 2004)</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An involved, trusting relationship between parent and child which facilitates open discussion and disclosure can reduce the potential for and severity of victimization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DOI":"10.1177/1079063213504594","author":[{"dropping-particle":"","family":"Leclerc","given":"Benoit","non-dropping-particle":"","parse-names":false,"suffix":""},{"dropping-particle":"","family":"Smallbone","given":"Stephen","non-dropping-particle":"","parse-names":false,"suffix":""},{"dropping-particle":"","family":"Wortley","given":"Richard","non-dropping-particle":"","parse-names":false,"suffix":""}],"container-title":"Sexual Abuse: Journal of Research and Treatment","id":"ITEM-1","issue":"2","issued":{"date-parts":[["2015"]]},"page":"189-204","title":"Prevention nearby: The influence of the presence of a potential guardian on the severity of child sexual abuse","type":"article-journal","volume":"27"},"uris":["http://www.mendeley.com/documents/?uuid=4e1ffc66-a71b-401a-aa22-28704695f0fe"]}],"mendeley":{"formattedCitation":"(Leclerc, Smallbone, &amp; Wortley, 2015)","manualFormatting":"(Leclerc et al., 2015)","plainTextFormattedCitation":"(Leclerc, Smallbone, &amp; Wortley, 2015)","previouslyFormattedCitation":"(Leclerc, Smallbone, &amp; Wortley, 2015)"},"properties":{"noteIndex":0},"schema":"https://github.com/citation-style-language/schema/raw/master/csl-citation.json"}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(Leclerc et al., 2015)</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Parents are uniquely equipped to foster self-efficacy, thus rendering their children more difficult targets for victimization. </w:t>
      </w:r>
    </w:p>
    <w:p w14:paraId="072EEC47" w14:textId="77777777" w:rsidR="007D3D49" w:rsidRPr="00A51941" w:rsidRDefault="007D3D49" w:rsidP="007D3D49">
      <w:pPr>
        <w:spacing w:after="0" w:line="480" w:lineRule="auto"/>
        <w:ind w:firstLine="720"/>
        <w:rPr>
          <w:rFonts w:ascii="Times New Roman" w:hAnsi="Times New Roman" w:cs="Times New Roman"/>
          <w:sz w:val="24"/>
          <w:szCs w:val="24"/>
        </w:rPr>
      </w:pPr>
      <w:r w:rsidRPr="00A51941">
        <w:rPr>
          <w:rFonts w:ascii="Times New Roman" w:hAnsi="Times New Roman" w:cs="Times New Roman"/>
          <w:b/>
          <w:bCs/>
          <w:sz w:val="24"/>
          <w:szCs w:val="24"/>
        </w:rPr>
        <w:t xml:space="preserve">Existing parent-focused CSA education. </w:t>
      </w:r>
      <w:r w:rsidRPr="00A51941">
        <w:rPr>
          <w:rFonts w:ascii="Times New Roman" w:hAnsi="Times New Roman" w:cs="Times New Roman"/>
          <w:sz w:val="24"/>
          <w:szCs w:val="24"/>
        </w:rPr>
        <w:t xml:space="preserve">A small number of existing parent-focused CSA primary prevention efforts have relied on teaching parents to educate their children about CSA and encouraging the use of protective behaviors such as saying "no" or trying to create distance from a potential perpetrator by running away. Empirical, peer-reviewed studies evaluating these parent-focused strategies are sparse and results are mixed. </w:t>
      </w:r>
      <w:proofErr w:type="spellStart"/>
      <w:r w:rsidRPr="00A51941">
        <w:rPr>
          <w:rFonts w:ascii="Times New Roman" w:hAnsi="Times New Roman" w:cs="Times New Roman"/>
          <w:sz w:val="24"/>
          <w:szCs w:val="24"/>
        </w:rPr>
        <w:t>Berrick</w:t>
      </w:r>
      <w:proofErr w:type="spellEnd"/>
      <w:r w:rsidRPr="00A51941">
        <w:rPr>
          <w:rFonts w:ascii="Times New Roman" w:hAnsi="Times New Roman" w:cs="Times New Roman"/>
          <w:sz w:val="24"/>
          <w:szCs w:val="24"/>
        </w:rPr>
        <w:t xml:space="preserve">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{"citationItems":[{"id":"ITEM-1","itemData":{"abstract":"This study examined the impact of parent education meetings on preschool parents&amp;#039; knowledge of child abuse. One hundred sixteen parents participated in the study. Parents were selected from seven preschool sites across California. Parent education appeared to have little effect upon (1) parents&amp;#039; knowledge of the prevalence of child sexual abuse, (2) indicators of abuse, or (3) parents&amp;#039; appropriate response to disclosures. Results from the parent data show the negligible effect of parent education as it is presently delivered. Few parents attend the meetings, and those who do learn very little.","author":[{"dropping-particle":"","family":"Berrick","given":"J D","non-dropping-particle":"","parse-names":false,"suffix":""}],"container-title":"Child Abuse Negl","id":"ITEM-1","issue":"4","issued":{"date-parts":[["1988"]]},"page":"543-553","title":"Parental involvement in child abuse prevention training: What do they learn?","type":"article-journal","volume":"12"},"suppress-author":1,"uris":["http://www.mendeley.com/documents/?uuid=da094547-fc6e-49f8-a5f5-0c6b163a61f6"]}],"mendeley":{"formattedCitation":"(1988)","plainTextFormattedCitation":"(1988)","previouslyFormattedCitation":"(1988)"},"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(1988)</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examined the effect of a single session focused on knowledge related to the prevalence of CSA, indications of abuse, and appropriate responses to abuse. No significant changes in a convenience sample of 118 parents’ knowledge were identified in the pre- post-test assessment and participation in the session was notably low (i.e., only 34% of eligible parents attended). The work of Wurtele and colleagues has perhaps been the most informative. In one pilot study, Burgess and Wurtele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{"citationItems":[{"id":"ITEM-1","itemData":{"DOI":"10.1016/S0145-2134(98)00094-5","ISBN":"0145-2134 (Print)\\n0145-2134","ISSN":"01452134","PMID":"9827320","abstract":"Objective: To determine if a commercially produced video, “What Do I Say Now?” (Committee for Children, 1996) leads to an increase in parent-child discussion about child sexual abuse (CSA). Method: Forty-five parents of children 2–6 years of age were randomly assigned to participate in either a CSA prevention workshop or a workshop on home safety (control). The post-test measure assessed parents’ beliefs about the severity of CSA and their children’s vulnerability to abuse (threat appraisal), along with their self-efficacy and response-efficacy beliefs (coping appraisal). The effects of the coping- and threat-appraisal components of Roger’s (1983) protection motivation theory (PMT) on parents’ intentions to talk to their children about the topic were also examined. During a followup telephone interview, parents were asked to report the amount of communication they had engaged in with their children about CSA since attending the workshop. Results: Parents who had participated in the CSA workshop reported significantly greater intentions of talking to their children about CSA, compared to the control group. At followup, these parents also reported having had significantly more discussions about CSA with their children compared with control parents. The PMT coping-appraisal components were found to be associated with parent intentions to discuss the topic. Conclusions: Results provide preliminary support for the effectiveness of an educational video for increasing parent-child communication about CSA. Support was also found for the coping-appraisal components of PMT. Suggestions for increasing parent involvement in CSA prevention efforts are offered. Objectif: Déterminer si un vidéo produit pour des fins commerciales, intitulé “Que dois-je dire maintenant?” contribue à augmenter les discussions entre parent et enfant concernant les abus sexuels. Méthode: De façon aléatoire, on a demandé à 45 parents d’enfants âgés de 2 à 6 ans de participer soit à un atelier de prévention des abus sexuels ou à un atelier sur la sécurité au foyer (groupe contrôle), après quoi on a mesuré leurs croyances concernant la gravité des abus sexuels et la vulnérabilité de leurs enfants (une évaluation des menaces), ainsi que leurs croyances concernant leur propre efficacité et leur efficacité à répondre (évaluation de leurs capacité de faire face à la vie). On a aussi examiné les effets de ces deux évaluations (qui sont basées sur la théorie Rogers (1983) sur la motivation de la pr…","author":[{"dropping-particle":"","family":"Burgess","given":"Erika Swift","non-dropping-particle":"","parse-names":false,"suffix":""},{"dropping-particle":"","family":"Wurtele","given":"Sandy K.","non-dropping-particle":"","parse-names":false,"suffix":""}],"container-title":"Child Abuse &amp; Neglect","id":"ITEM-1","issue":"11","issued":{"date-parts":[["1998"]]},"page":"1167-1175","title":"Enhancing parent-child communication about sexual abuse: a pilot study","type":"article-journal","volume":"22"},"suppress-author":1,"uris":["http://www.mendeley.com/documents/?uuid=7b70a2f9-f3fd-42a6-9647-f96954bf16b4"]}],"mendeley":{"formattedCitation":"(1998)","plainTextFormattedCitation":"(1998)","previouslyFormattedCitation":"(1998)"},"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(1998)</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demonstrated parents randomized to watch a 30-minute video with </w:t>
      </w:r>
      <w:r w:rsidRPr="00A51941">
        <w:rPr>
          <w:rFonts w:ascii="Times New Roman" w:hAnsi="Times New Roman" w:cs="Times New Roman"/>
          <w:sz w:val="24"/>
          <w:szCs w:val="24"/>
        </w:rPr>
        <w:lastRenderedPageBreak/>
        <w:t xml:space="preserve">actors modeling how to calmly discuss sexuality and how to appropriately handle a CSA disclosure had significantly greater intentions of talking to their child about CSA compared to parents who watched a general home safety video. Another study indicated a singular 3-hour in-person workshop conducted by a CSA-prevention expert significantly improved parents’ self- reported knowledge and discussions with their children about CSA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{"citationItems":[{"id":"ITEM-1","itemData":{"DOI":"10.1080/19361520802505768","ISSN":"19361521","abstract":"This study examined the effectiveness of an educational workshop designed to inform parents about childhood sexual abuse (CSA), promote parent-child communication, and help parents create molester-free environments for their children. Forty-seven parents of young children (mean age = 4.6 years) completed preworkshop questionnaires, participated in a 3-hour parent educational workshop led by a CSA prevention expert, and were tested 1 month later. Parents who attended the workshop gained knowledge about CSA and reported increased communication with their children about CSA. This study provided evidence that a relatively brief parent educational program can improve parents' knowledge and ability to talk with their children about personal safety. Suggestions for future program development and evaluation are provided.","author":[{"dropping-particle":"","family":"Wurtele","given":"Sandy K.","non-dropping-particle":"","parse-names":false,"suffix":""},{"dropping-particle":"","family":"Moreno","given":"Tasha","non-dropping-particle":"","parse-names":false,"suffix":""},{"dropping-particle":"","family":"Kenny","given":"Maureen C.","non-dropping-particle":"","parse-names":false,"suffix":""}],"container-title":"Journal of Child &amp; Adolescent Trauma","id":"ITEM-1","issue":"4","issued":{"date-parts":[["2008"]]},"page":"331-340","title":"Evaluation of a Sexual Abuse Prevention Workshop for Parents of Young Children","type":"article-journal","volume":"1"},"uris":["http://www.mendeley.com/documents/?uuid=9c10d228-7441-4f07-bada-07b5e9104d07"]}],"mendeley":{"formattedCitation":"(Wurtele, Moreno, &amp; Kenny, 2008)","manualFormatting":"(Wurtele et al., 2008)","plainTextFormattedCitation":"(Wurtele, Moreno, &amp; Kenny, 2008)","previouslyFormattedCitation":"(Wurtele, Moreno, &amp; Kenny, 2008)"},"properties":{"noteIndex":0},"schema":"https://github.com/citation-style-language/schema/raw/master/csl-citation.json"}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(Wurtele et al., 2008)</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Though dated, these studies demonstrate the feasibility of affecting parent CSA-related knowledge in one session but were not evaluated using a fully powered randomized controlled trial and some were designed without a comparison group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{"citationItems":[{"id":"ITEM-1","itemData":{"DOI":"10.1080/19361520802505768","ISSN":"19361521","abstract":"This study examined the effectiveness of an educational workshop designed to inform parents about childhood sexual abuse (CSA), promote parent-child communication, and help parents create molester-free environments for their children. Forty-seven parents of young children (mean age = 4.6 years) completed preworkshop questionnaires, participated in a 3-hour parent educational workshop led by a CSA prevention expert, and were tested 1 month later. Parents who attended the workshop gained knowledge about CSA and reported increased communication with their children about CSA. This study provided evidence that a relatively brief parent educational program can improve parents' knowledge and ability to talk with their children about personal safety. Suggestions for future program development and evaluation are provided.","author":[{"dropping-particle":"","family":"Wurtele","given":"Sandy K.","non-dropping-particle":"","parse-names":false,"suffix":""},{"dropping-particle":"","family":"Moreno","given":"Tasha","non-dropping-particle":"","parse-names":false,"suffix":""},{"dropping-particle":"","family":"Kenny","given":"Maureen C.","non-dropping-particle":"","parse-names":false,"suffix":""}],"container-title":"Journal of Child &amp; Adolescent Trauma","id":"ITEM-1","issue":"4","issued":{"date-parts":[["2008"]]},"page":"331-340","title":"Evaluation of a Sexual Abuse Prevention Workshop for Parents of Young Children","type":"article-journal","volume":"1"},"uris":["http://www.mendeley.com/documents/?uuid=9c10d228-7441-4f07-bada-07b5e9104d07"]},{"id":"ITEM-2","itemData":{"abstract":"This study examined the impact of parent education meetings on preschool parents&amp;#039; knowledge of child abuse. One hundred sixteen parents participated in the study. Parents were selected from seven preschool sites across California. Parent education appeared to have little effect upon (1) parents&amp;#039; knowledge of the prevalence of child sexual abuse, (2) indicators of abuse, or (3) parents&amp;#039; appropriate response to disclosures. Results from the parent data show the negligible effect of parent education as it is presently delivered. Few parents attend the meetings, and those who do learn very little.","author":[{"dropping-particle":"","family":"Berrick","given":"J D","non-dropping-particle":"","parse-names":false,"suffix":""}],"container-title":"Child Abuse Negl","id":"ITEM-2","issue":"4","issued":{"date-parts":[["1988"]]},"page":"543-553","title":"Parental involvement in child abuse prevention training: What do they learn?","type":"article-journal","volume":"12"},"uris":["http://www.mendeley.com/documents/?uuid=da094547-fc6e-49f8-a5f5-0c6b163a61f6"]}],"mendeley":{"formattedCitation":"(Berrick, 1988; Wurtele et al., 2008)","manualFormatting":"(e.g., Berrick, 1988; Wurtele et al., 2008)","plainTextFormattedCitation":"(Berrick, 1988; Wurtele et al., 2008)","previouslyFormattedCitation":"(Berrick, 1988; Wurtele et al., 2008)"},"properties":{"noteIndex":0},"schema":"https://github.com/citation-style-language/schema/raw/master/csl-citation.json"}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(e.g., Berrick, 1988; Wurtele et al., 2008)</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Additionally, programs were evaluated solely on the degree to which parents had—or their intention to have—a discussion about CSA with their child but did not assess changes in protective behaviors and therefore it is unknown if these programs affected parents’ use of protective behaviors or if these parents were using protective behaviors prior to the program. Although there is theoretical and modest empirical support for the inclusion of parents in the primary prevention of CSA, it is unknown whether targeting all parents universally is warranted or whether there might be a subset of parent who would benefit more than others.  In a review of universal child and adolescent prevention programs designed to improve mental health, Dodge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{"citationItems":[{"id":"ITEM-1","itemData":{"DOI":"10.1111/jcpp.13141","ISSN":"14697610","abstract":"This article proposes that universal and targeted preventive interventions should be compared and evaluated in terms of their benefit–cost ratio in achieving population-wide impact on mental disorders and related outcomes. Universal approaches attempt to affect every individual in a population, whereas targeted approaches select candidates for intervention based on screening of demographic or behavioral characteristics. Unique assets and challenges of each approach in achieving population impact in a cost-efficient way are discussed, along with spillover effects, sensitivity and specificity, developmental processes, timing of intervention, and the relation between severity of risk and plasticity. A general targeted-efficiency framework is proposed as a heuristic to evaluate the collective merits of universal and targeted approaches in specific cases. A tiered approach that combines universal and targeted identification strategies is proposed, and examples are described. Issues for high-priority research are identified.","author":[{"dropping-particle":"","family":"Dodge","given":"Kenneth A.","non-dropping-particle":"","parse-names":false,"suffix":""}],"container-title":"Journal of Child Psychology and Psychiatry","id":"ITEM-1","issue":"3","issued":{"date-parts":[["2020"]]},"page":"255-267","title":"Annual Research Review: Universal and targeted strategies for assigning interventions to achieve population impact","type":"article-journal","volume":"61"},"suppress-author":1,"uris":["http://www.mendeley.com/documents/?uuid=7dedbe08-914c-442c-ac36-d9482e726408"]}],"mendeley":{"formattedCitation":"(2020)","plainTextFormattedCitation":"(2020)","previouslyFormattedCitation":"(2020)"},"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(2020)</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demonstrates that the net cost savings of programs is highest among programs delivered to individuals at highest risk. Not only is the efficacy of existing parent-focused CSA prevention programs inconsistent, the allocation of resources via a universal prevention strategy may not cost-effective nor sustainable. </w:t>
      </w:r>
    </w:p>
    <w:p w14:paraId="2E2B0E7A" w14:textId="77777777" w:rsidR="007D3D49" w:rsidRPr="00A51941" w:rsidRDefault="007D3D49" w:rsidP="007D3D49">
      <w:pPr>
        <w:spacing w:after="0" w:line="480" w:lineRule="auto"/>
        <w:rPr>
          <w:rFonts w:ascii="Times New Roman" w:hAnsi="Times New Roman" w:cs="Times New Roman"/>
          <w:b/>
          <w:bCs/>
          <w:sz w:val="24"/>
          <w:szCs w:val="24"/>
        </w:rPr>
      </w:pPr>
      <w:r w:rsidRPr="00A51941">
        <w:rPr>
          <w:rFonts w:ascii="Times New Roman" w:hAnsi="Times New Roman" w:cs="Times New Roman"/>
          <w:b/>
          <w:bCs/>
          <w:sz w:val="24"/>
          <w:szCs w:val="24"/>
        </w:rPr>
        <w:t>Toward an Efficient, Sustainable, Selective Approach to CSA Prevention</w:t>
      </w:r>
    </w:p>
    <w:p w14:paraId="44D71804" w14:textId="77777777" w:rsidR="007D3D49" w:rsidRPr="00A51941" w:rsidRDefault="007D3D49" w:rsidP="007D3D49">
      <w:pPr>
        <w:spacing w:after="0" w:line="480" w:lineRule="auto"/>
        <w:ind w:firstLine="720"/>
        <w:rPr>
          <w:rFonts w:ascii="Times New Roman" w:hAnsi="Times New Roman" w:cs="Times New Roman"/>
          <w:sz w:val="24"/>
          <w:szCs w:val="24"/>
        </w:rPr>
      </w:pPr>
      <w:r w:rsidRPr="00A51941">
        <w:rPr>
          <w:rFonts w:ascii="Times New Roman" w:hAnsi="Times New Roman" w:cs="Times New Roman"/>
          <w:sz w:val="24"/>
          <w:szCs w:val="24"/>
        </w:rPr>
        <w:t xml:space="preserve">Whereas universal prevention strategies involve everyone in a population (e.g., all parents of school-aged kids), selective prevention strategies focus efforts on individuals with </w:t>
      </w:r>
      <w:r w:rsidRPr="00A51941">
        <w:rPr>
          <w:rFonts w:ascii="Times New Roman" w:hAnsi="Times New Roman" w:cs="Times New Roman"/>
          <w:sz w:val="24"/>
          <w:szCs w:val="24"/>
        </w:rPr>
        <w:lastRenderedPageBreak/>
        <w:t xml:space="preserve">elevated or high risk but who have not yet experienced the outcome of interest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{"citationItems":[{"id":"ITEM-1","itemData":{"ISBN":"964-7445-88-1","author":[{"dropping-particle":"","family":"Rae Grant","given":"Naomi I.","non-dropping-particle":"","parse-names":false,"suffix":""}],"container-title":"Canadian Journal of Community Mental Health","id":"ITEM-1","issue":"2","issued":{"date-parts":[["1994"]]},"page":"17-36","title":"Preventive interventions for children and adolescents: Where are we now and how far have we come?","type":"article-journal","volume":"13"},"uris":["http://www.mendeley.com/documents/?uuid=14e15057-1115-442a-9142-2b488ddbaf41"]}],"mendeley":{"formattedCitation":"(Rae Grant, 1994)","plainTextFormattedCitation":"(Rae Grant, 1994)","previouslyFormattedCitation":"(Rae Grant, 1994)"},"properties":{"noteIndex":0},"schema":"https://github.com/citation-style-language/schema/raw/master/csl-citation.json"}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(Rae Grant, 1994)</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A selective prevention programs increase cost-effectiveness by targeting a subset of the population that are deemed at-risk based on membership in a specific segment of the population. For example, children of parents with substance use disorder are at risk of engaging in substance use themselves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{"citationItems":[{"id":"ITEM-1","itemData":{"PMID":"29144715","abstract":"Background: Parent substance use disorders (SUDs) can have negative impacts on children, including lower socioeconomic status and more difficulties in academic and social settings and family functioning when compared with children living with parents without an SUD. Method: This report uses data from the 2009 to 2014 National Surveys on Drug Use and Health (NSDUHs) to determine the number of children living with a parent who had an SUD (alcohol use disorder or illicit drug use disorder). The analysis is based on a sample size of 22,200 adults aged 18 or older with at least 1 related child aged 17 or younger residing in the household. Results: Based on combined 2009 to 2014 NSDUH data, about 8.7 million (12.3 percent) children aged 17 or younger lived in U.S. households with at least one parent who had an SUD. About 7.5 million (10.5 percent) children lived in households with at least one parent who had an alcohol use disorder, and about 2.1 million (2.9 percent) children lived in households with at least one parent who had a past year illicit drug use disorder. Conclusion: The annual average of 8.7 million children aged 17 or younger living in U.S. households with at least one parent who had an SUD highlights the potential breadth of substance use prevention and treatment needs for the whole family—from substance abuse treatment for the affected adults and prevention and supportive services for the children.","author":[{"dropping-particle":"","family":"Lipari","given":"Rachel N.","non-dropping-particle":"","parse-names":false,"suffix":""},{"dropping-particle":"","family":"Horn","given":"Struther L.","non-dropping-particle":"Van","parse-names":false,"suffix":""}],"id":"ITEM-1","issued":{"date-parts":[["2017"]]},"publisher-place":"Rockville, MD","title":"Children living with parents who have a substance use disorder. The CBHSQ Report: August 24, 2017.","type":"report"},"uris":["http://www.mendeley.com/documents/?uuid=010ee9fb-3e0f-4458-8e5e-27a5de043df6"]}],"mendeley":{"formattedCitation":"(Lipari &amp; Van Horn, 2017)","plainTextFormattedCitation":"(Lipari &amp; Van Horn, 2017)","previouslyFormattedCitation":"(Lipari &amp; Van Horn, 2017)"},"properties":{"noteIndex":0},"schema":"https://github.com/citation-style-language/schema/raw/master/csl-citation.json"}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(Lipari &amp; Van Horn, 2017)</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A selective prevention approach is designed to mitigate the development of an adverse outcome among that subgroup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{"citationItems":[{"id":"ITEM-1","itemData":{"DOI":"10.17226/2139","ISBN":"9780309049399","author":[{"dropping-particle":"","family":"Institute of Medicine","given":"","non-dropping-particle":"","parse-names":false,"suffix":""}],"id":"ITEM-1","issued":{"date-parts":[["1994"]]},"publisher":"National Academies Press","publisher-place":"Washington, D.C.","title":"Reducing Risks for Mental Disorders: Frontiers for Preventive Intervention Research","type":"book"},"uris":["http://www.mendeley.com/documents/?uuid=51a8eee0-5a19-4eb7-b60a-bc1eac365ecc"]}],"mendeley":{"formattedCitation":"(Institute of Medicine, 1994)","plainTextFormattedCitation":"(Institute of Medicine, 1994)","previouslyFormattedCitation":"(Institute of Medicine, 1994)"},"properties":{"noteIndex":0},"schema":"https://github.com/citation-style-language/schema/raw/master/csl-citation.json"}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(Institute of Medicine, 1994)</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Extending the previous example, a selective prevention approach might be delivered as a school-based program for elementary students from drug-involved families that focuses on emotional and behavioral strategies for coping with difficult situations that might ultimately lead to a child’s substance use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{"citationItems":[{"id":"ITEM-1","itemData":{"DOI":"10.1186/1747-597X-7-23","ISSN":"1747597X","abstract":"Children from substance-affected families show an elevated risk for developing own substance-related or other mental disorders. Therefore, they are an important target group for preventive efforts. So far, such programs for children of substance-involved parents have not been reviewed together. We conducted a comprehensive systematic review to identify and summarize evaluations of selective preventive interventions in childhood and adolescence targeted at this specific group. From the overall search result of 375 articles, 339 were excluded, 36 full texts were reviewed. From these, nine eligible programs documented in 13 studies were identified comprising four school-based interventions (study 1-6), one community-based intervention (study 7-8), and four family-based interventions (study 9-13). Studies' levels of evidence were rated in accordance with the Scottish Intercollegiate Guidelines Network (SIGN) methodology, and their quality was ranked according to a score adapted from the area of meta-analytic family therapy research and consisting of 15 study design quality criteria. Studies varied in program format, structure, content, and participants. They also varied in outcome measures, results, and study design quality. We found seven RCT's, two well designed controlled or quasi-experimental studies, three well-designed descriptive studies, and one qualitative study. There was preliminary evidence for the effectiveness of the programs, especially when their duration was longer than ten weeks and when they involved children's, parenting, and family skills training components. Outcomes proximal to the intervention, such as program-related knowledge, coping-skills, and family relations, showed better results than more distal outcomes such as self-worth and substance use initiation, the latter due to the comparably young age of participants and sparse longitudinal data. However, because of the small overall number of studies found, all conclusions must remain tentative. More evaluations are needed and their quality must be improved. New research should focus on the differential impact of program components and delivery mechanisms. It should also explore long-term effects on children substance use, delinquency, mental health, physical health and school performance. To broaden the field, new approaches to prevention should be tested in diverse cultural and contextual settings. © 2012 Bröning et al.; licensee BioMed Central Ltd.","author":[{"dropping-particle":"","family":"Bröning","given":"Sonja","non-dropping-particle":"","parse-names":false,"suffix":""},{"dropping-particle":"","family":"Kumpfer","given":"Karol","non-dropping-particle":"","parse-names":false,"suffix":""},{"dropping-particle":"","family":"Kruse","given":"Katja","non-dropping-particle":"","parse-names":false,"suffix":""},{"dropping-particle":"","family":"Sack","given":"Peter Michael","non-dropping-particle":"","parse-names":false,"suffix":""},{"dropping-particle":"","family":"Schaunig-Busch","given":"Ines","non-dropping-particle":"","parse-names":false,"suffix":""},{"dropping-particle":"","family":"Ruths","given":"Sylvia","non-dropping-particle":"","parse-names":false,"suffix":""},{"dropping-particle":"","family":"Moesgen","given":"Diana","non-dropping-particle":"","parse-names":false,"suffix":""},{"dropping-particle":"","family":"Pflug","given":"Ellen","non-dropping-particle":"","parse-names":false,"suffix":""},{"dropping-particle":"","family":"Klein","given":"Michael","non-dropping-particle":"","parse-names":false,"suffix":""},{"dropping-particle":"","family":"Thomasius","given":"Rainer","non-dropping-particle":"","parse-names":false,"suffix":""}],"container-title":"Substance Abuse: Treatment, Prevention, and Policy","id":"ITEM-1","issue":"23","issued":{"date-parts":[["2012"]]},"page":"1-17","title":"Selective prevention programs for children from substance-affected families: A comprehensive systematic review","type":"article-journal","volume":"7"},"uris":["http://www.mendeley.com/documents/?uuid=ce702ad5-b565-48d7-bfdc-7f06b8b55309"]}],"mendeley":{"formattedCitation":"(Bröning et al., 2012)","manualFormatting":"(see Bröning et al., 2012)","plainTextFormattedCitation":"(Bröning et al., 2012)","previouslyFormattedCitation":"(Bröning et al., 2012)"},"properties":{"noteIndex":0},"schema":"https://github.com/citation-style-language/schema/raw/master/csl-citation.json"}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(see Bröning et al., 2012)</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Selective approaches efficiently allocate resources to those at-risk, among whom change in risk factors is most likely to occur, and, thus, present a cost-effective prevention approach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{"citationItems":[{"id":"ITEM-1","itemData":{"DOI":"10.1111/jcpp.13141","ISSN":"14697610","abstract":"This article proposes that universal and targeted preventive interventions should be compared and evaluated in terms of their benefit–cost ratio in achieving population-wide impact on mental disorders and related outcomes. Universal approaches attempt to affect every individual in a population, whereas targeted approaches select candidates for intervention based on screening of demographic or behavioral characteristics. Unique assets and challenges of each approach in achieving population impact in a cost-efficient way are discussed, along with spillover effects, sensitivity and specificity, developmental processes, timing of intervention, and the relation between severity of risk and plasticity. A general targeted-efficiency framework is proposed as a heuristic to evaluate the collective merits of universal and targeted approaches in specific cases. A tiered approach that combines universal and targeted identification strategies is proposed, and examples are described. Issues for high-priority research are identified.","author":[{"dropping-particle":"","family":"Dodge","given":"Kenneth A.","non-dropping-particle":"","parse-names":false,"suffix":""}],"container-title":"Journal of Child Psychology and Psychiatry","id":"ITEM-1","issue":"3","issued":{"date-parts":[["2020"]]},"page":"255-267","title":"Annual Research Review: Universal and targeted strategies for assigning interventions to achieve population impact","type":"article-journal","volume":"61"},"uris":["http://www.mendeley.com/documents/?uuid=7dedbe08-914c-442c-ac36-d9482e726408"]}],"mendeley":{"formattedCitation":"(Dodge, 2020)","plainTextFormattedCitation":"(Dodge, 2020)","previouslyFormattedCitation":"(Dodge, 2020)"},"properties":{"noteIndex":0},"schema":"https://github.com/citation-style-language/schema/raw/master/csl-citation.json"}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(Dodge, 2020)</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Because they bear the additional cost burden associated with screening, it behooves selective approaches to leverage existing systems to </w:t>
      </w:r>
      <w:proofErr w:type="gramStart"/>
      <w:r w:rsidRPr="00A51941">
        <w:rPr>
          <w:rFonts w:ascii="Times New Roman" w:hAnsi="Times New Roman" w:cs="Times New Roman"/>
          <w:sz w:val="24"/>
          <w:szCs w:val="24"/>
        </w:rPr>
        <w:t>efficiently and effectively funnel</w:t>
      </w:r>
      <w:proofErr w:type="gramEnd"/>
      <w:r w:rsidRPr="00A51941">
        <w:rPr>
          <w:rFonts w:ascii="Times New Roman" w:hAnsi="Times New Roman" w:cs="Times New Roman"/>
          <w:sz w:val="24"/>
          <w:szCs w:val="24"/>
        </w:rPr>
        <w:t xml:space="preserve"> those at highest risk into preventive interventions.</w:t>
      </w:r>
    </w:p>
    <w:p w14:paraId="0AC1260D" w14:textId="77777777" w:rsidR="007D3D49" w:rsidRPr="00A51941" w:rsidRDefault="007D3D49" w:rsidP="007D3D49">
      <w:pPr>
        <w:spacing w:after="0" w:line="480" w:lineRule="auto"/>
        <w:ind w:firstLine="720"/>
        <w:rPr>
          <w:rFonts w:ascii="Times New Roman" w:hAnsi="Times New Roman" w:cs="Times New Roman"/>
          <w:sz w:val="24"/>
          <w:szCs w:val="24"/>
        </w:rPr>
      </w:pPr>
      <w:r w:rsidRPr="00A51941">
        <w:rPr>
          <w:rFonts w:ascii="Times New Roman" w:hAnsi="Times New Roman" w:cs="Times New Roman"/>
          <w:sz w:val="24"/>
          <w:szCs w:val="24"/>
        </w:rPr>
        <w:t xml:space="preserve">Identifying a subgroup of children and families at-risk for CSA is complicated, as many risk factors are simultaneously associated with other types of child maltreatment such as physical abuse and neglect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{"citationItems":[{"id":"ITEM-1","itemData":{"DOI":"10.1016/j.avb.2006.03.006","ISBN":"1359-1789","ISSN":"13591789","abstract":"This review presents the results of a series of meta-analyses identifying the relative strength of various risk factors for child physical abuse and neglect. Data from 155 studies examining 39 different risk factors were included in the review. Large effect sizes were found between child physical abuse and three risk factors (parent anger/hyper-reactivity, family conflict and family cohesion). Large effect sizes were also found between child neglect and five risk factors (parent-child relationship, parent perceives child as problem, parent's level of stress, parent anger/hyper-reactivity, and parent self-esteem). ?? 2008 Elsevier Ltd. All rights reserved.","author":[{"dropping-particle":"","family":"Stith","given":"Sandra M.","non-dropping-particle":"","parse-names":false,"suffix":""},{"dropping-particle":"","family":"Liu","given":"Ting","non-dropping-particle":"","parse-names":false,"suffix":""},{"dropping-particle":"","family":"Davies","given":"L. Christopher","non-dropping-particle":"","parse-names":false,"suffix":""},{"dropping-particle":"","family":"Boykin","given":"Esther L.","non-dropping-particle":"","parse-names":false,"suffix":""},{"dropping-particle":"","family":"Alder","given":"Meagan C.","non-dropping-particle":"","parse-names":false,"suffix":""},{"dropping-particle":"","family":"Harris","given":"Jennifer M.","non-dropping-particle":"","parse-names":false,"suffix":""},{"dropping-particle":"","family":"Som","given":"Anurag","non-dropping-particle":"","parse-names":false,"suffix":""},{"dropping-particle":"","family":"McPherson","given":"Mary","non-dropping-particle":"","parse-names":false,"suffix":""},{"dropping-particle":"","family":"Dees","given":"J. E M E G","non-dropping-particle":"","parse-names":false,"suffix":""}],"container-title":"Aggression and Violent Behavior","id":"ITEM-1","issue":"1","issued":{"date-parts":[["2009"]]},"page":"13-29","publisher":"Elsevier Ltd","title":"Risk factors in child maltreatment: A meta-analytic review of the literature","type":"article-journal","volume":"14"},"uris":["http://www.mendeley.com/documents/?uuid=7d074e53-5ee1-4ed7-87a5-cc75d6de0a36"]}],"mendeley":{"formattedCitation":"(Stith et al., 2009)","plainTextFormattedCitation":"(Stith et al., 2009)","previouslyFormattedCitation":"(Stith et al., 2009)"},"properties":{"noteIndex":0},"schema":"https://github.com/citation-style-language/schema/raw/master/csl-citation.json"}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(Stith et al., 2009)</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such as parental substance use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{"citationItems":[{"id":"ITEM-1","itemData":{"DOI":"10.1016/j.jflm.2012.06.005","ISSN":"1752928X","abstract":"Objectives: To quantify the incidence of child sexual abuse allegations referred to a forensic examination centre; to identify possible risk factors predisposing children to sexual abuse by measuring their prevalence among the complainant population. Methodology: The records of children involved in sexual abuse allegations presenting over a 12 month period were reviewed retrospectively. Demographic data such as nature of case, sex, ethnicity, number of previous allegations, assailant relationship, month of presentation, and age were compiled. Potential risk factors such as alcohol or drug use, being 'looked after', physical disability, learning disability, previous consensual sexual intercourse, past psychiatric history, and history of psychiatric support were compiled. Descriptive statistics were calculated. Results: 138 cases were recorded, of which the majority were acute. Epidemiological data demonstrated a higher incidence in females and most complainants were of White British origin. Most of the cases were of first allegations and the assailant relationship was most frequently an acquaintance. The incidence was highest in January. The modal age was 15 years and age distribution was positively skewed. Of the potential risk factors studied, alcohol and drug use was the most prevalent. Prevalence increased with age for the majority of factors studied. Conclusions: Alcohol and drug use may be an area in which preventative strategies would be beneficial. Ethnic minorities may hold a large amount of unreported cases.","author":[{"dropping-particle":"","family":"Davies","given":"Eryl A.","non-dropping-particle":"","parse-names":false,"suffix":""},{"dropping-particle":"","family":"Jones","given":"Alyson C.","non-dropping-particle":"","parse-names":false,"suffix":""}],"container-title":"Journal of Forensic and Legal Medicine","id":"ITEM-1","issue":"3","issued":{"date-parts":[["2013"]]},"page":"146-150","publisher":"Elsevier Ltd","title":"Risk factors in child sexual abuse","type":"article-journal","volume":"20"},"uris":["http://www.mendeley.com/documents/?uuid=767c389e-95c9-42b1-8221-fe15237abeea"]}],"mendeley":{"formattedCitation":"(Davies &amp; Jones, 2013)","plainTextFormattedCitation":"(Davies &amp; Jones, 2013)","previouslyFormattedCitation":"(Davies &amp; Jones, 2013)"},"properties":{"noteIndex":0},"schema":"https://github.com/citation-style-language/schema/raw/master/csl-citation.json"}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(Davies &amp; Jones, 2013)</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parenting deficits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author":[{"dropping-particle":"","family":"Finkelhor","given":"David","non-dropping-particle":"","parse-names":false,"suffix":""},{"dropping-particle":"","family":"Baron","given":"Larry","non-dropping-particle":"","parse-names":false,"suffix":""}],"container-title":"Journal of Interpersonal Violence","id":"ITEM-1","issue":"1","issued":{"date-parts":[["1986"]]},"page":"43-71","title":"Risk factors for child sexual abuse","type":"article-journal","volume":"1"},"uris":["http://www.mendeley.com/documents/?uuid=6ebb0a1a-c347-44b9-a520-f7a065259e46"]}],"mendeley":{"formattedCitation":"(Finkelhor &amp; Baron, 1986)","manualFormatting":"(e.g., absence, lack of supervision; Finkelhor &amp; Baron, 1986)","plainTextFormattedCitation":"(Finkelhor &amp; Baron, 1986)","previouslyFormattedCitation":"(Finkelhor &amp; Baron, 1986)"},"properties":{"noteIndex":0},"schema":"https://github.com/citation-style-language/schema/raw/master/csl-citation.json"}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(e.g., absence, lack of supervision; Finkelhor &amp; Baron, 1986)</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and parental history of victimization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author":[{"dropping-particle":"","family":"Finkelhor","given":"David","non-dropping-particle":"","parse-names":false,"suffix":""},{"dropping-particle":"","family":"Moore","given":"David","non-dropping-particle":"","parse-names":false,"suffix":""},{"dropping-particle":"","family":"Hamby","given":"Sherry L.","non-dropping-particle":"","parse-names":false,"suffix":""},{"dropping-particle":"","family":"Straus","given":"Murray A.","non-dropping-particle":"","parse-names":false,"suffix":""}],"container-title":"Child Abuse &amp; Neglect","id":"ITEM-1","issue":"1","issued":{"date-parts":[["1997"]]},"page":"1-9","title":"Sexually abused children in a national survey of parents: Methodological issues","type":"article-journal","volume":"21"},"uris":["http://www.mendeley.com/documents/?uuid=b9293b1d-62c8-496e-bcfb-ea7041ab8b09"]},{"id":"ITEM-2","itemData":{"author":[{"dropping-particle":"","family":"McCloskey","given":"Laura Ann","non-dropping-particle":"","parse-names":false,"suffix":""},{"dropping-particle":"","family":"Bailey","given":"Jennifer A.","non-dropping-particle":"","parse-names":false,"suffix":""}],"container-title":"Journal of Interpersonal Violence","id":"ITEM-2","issue":"10","issued":{"date-parts":[["2000"]]},"page":"1019 - 1035","title":"The intergenerational transmission of risk for child sexual abuse","type":"article-journal","volume":"15"},"uris":["http://www.mendeley.com/documents/?uuid=fff69df9-91cf-41a0-bdbe-7b26bc8a7498"]}],"mendeley":{"formattedCitation":"(Finkelhor, Moore, Hamby, &amp; Straus, 1997; McCloskey &amp; Bailey, 2000)","manualFormatting":"(Finkelhor et al., 1997; McCloskey &amp; Bailey, 2000)","plainTextFormattedCitation":"(Finkelhor, Moore, Hamby, &amp; Straus, 1997; McCloskey &amp; Bailey, 2000)","previouslyFormattedCitation":"(Finkelhor, Moore, Hamby, &amp; Straus, 1997; McCloskey &amp; Bailey, 2000)"},"properties":{"noteIndex":0},"schema":"https://github.com/citation-style-language/schema/raw/master/csl-citation.json"}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(Finkelhor et al., 1997; McCloskey &amp; Bailey, 2000)</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A meta-analysis of 72 studies reported the strongest risk factors for CSA included: parent history of childhood victimization (</w:t>
      </w:r>
      <w:r w:rsidRPr="00A51941">
        <w:rPr>
          <w:rFonts w:ascii="Times New Roman" w:hAnsi="Times New Roman" w:cs="Times New Roman"/>
          <w:i/>
          <w:iCs/>
          <w:sz w:val="24"/>
          <w:szCs w:val="24"/>
        </w:rPr>
        <w:t xml:space="preserve">r </w:t>
      </w:r>
      <w:r w:rsidRPr="00A51941">
        <w:rPr>
          <w:rFonts w:ascii="Times New Roman" w:hAnsi="Times New Roman" w:cs="Times New Roman"/>
          <w:sz w:val="24"/>
          <w:szCs w:val="24"/>
        </w:rPr>
        <w:t xml:space="preserve">= .27); parenting problems (i.e., poor relationship; </w:t>
      </w:r>
      <w:r w:rsidRPr="00A51941">
        <w:rPr>
          <w:rFonts w:ascii="Times New Roman" w:hAnsi="Times New Roman" w:cs="Times New Roman"/>
          <w:i/>
          <w:iCs/>
          <w:sz w:val="24"/>
          <w:szCs w:val="24"/>
        </w:rPr>
        <w:t>r</w:t>
      </w:r>
      <w:r w:rsidRPr="00A51941">
        <w:rPr>
          <w:rFonts w:ascii="Times New Roman" w:hAnsi="Times New Roman" w:cs="Times New Roman"/>
          <w:sz w:val="24"/>
          <w:szCs w:val="24"/>
        </w:rPr>
        <w:t xml:space="preserve"> = .29); and social isolation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{"citationItems":[{"id":"ITEM-1","itemData":{"author":[{"dropping-particle":"","family":"Assink","given":"Mark","non-dropping-particle":"","parse-names":false,"suffix":""},{"dropping-particle":"","family":"Put","given":"Claudia E.","non-dropping-particle":"van der","parse-names":false,"suffix":""},{"dropping-particle":"","family":"Meeuwsen","given":"Mandy W C M","non-dropping-particle":"","parse-names":false,"suffix":""},{"dropping-particle":"De","family":"Jong","given":"Nynke M","non-dropping-particle":"","parse-names":false,"suffix":""},{"dropping-particle":"","family":"Oort","given":"Frans J","non-dropping-particle":"","parse-names":false,"suffix":""},{"dropping-particle":"","family":"Stams","given":"Geert Jan J M","non-dropping-particle":"","parse-names":false,"suffix":""},{"dropping-particle":"","family":"Hoeve","given":"Machteld","non-dropping-particle":"","parse-names":false,"suffix":""}],"container-title":"Psychological Bulletin","id":"ITEM-1","issued":{"date-parts":[["2019"]]},"page":"Advanced online publication","title":"Risk factors for child sexual abuse victimization: A meta-analytic review","type":"article-journal"},"uris":["http://www.mendeley.com/documents/?uuid=dcd2f73a-a7d6-4b1c-a7bc-f95589eb5913"]}],"mendeley":{"formattedCitation":"(Assink et al., 2019)","manualFormatting":"(r = .20; Assink et al., 2019)","plainTextFormattedCitation":"(Assink et al., 2019)","previouslyFormattedCitation":"(Assink et al., 2019)"},"properties":{"noteIndex":0},"schema":"https://github.com/citation-style-language/schema/raw/master/csl-citation.json"}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w:t>
      </w:r>
      <w:r w:rsidRPr="00A51941">
        <w:rPr>
          <w:rFonts w:ascii="Times New Roman" w:hAnsi="Times New Roman" w:cs="Times New Roman"/>
          <w:i/>
          <w:iCs/>
          <w:noProof/>
          <w:sz w:val="24"/>
          <w:szCs w:val="24"/>
        </w:rPr>
        <w:t>r</w:t>
      </w:r>
      <w:r w:rsidRPr="00A51941">
        <w:rPr>
          <w:rFonts w:ascii="Times New Roman" w:hAnsi="Times New Roman" w:cs="Times New Roman"/>
          <w:noProof/>
          <w:sz w:val="24"/>
          <w:szCs w:val="24"/>
        </w:rPr>
        <w:t xml:space="preserve"> = .20; Assink et al., 2019)</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Risk for CSA is also significantly heighted by exposure to other forms of maltreatment and involvement with the child welfare system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{"citationItems":[{"id":"ITEM-1","itemData":{"DOI":"10.1016/j.chiabu.2011.03.004","ISSN":"01452134","abstract":"We examined (1) the prevalence of childhood sexual abuse (CSA) experiences as a function of cohort and gender, (2) the prevalence of factors associated with CSA as a function of cohort and whether the association of these factors with CSA remained the same irrespective of cohort, and (3) whether any cohort differences could be explainable by cohort differences in reporting bias. Method: We used the responses of 4,561 men (M= 29, SD= 7 years) and 8,361 female (M= 29, SD = 7 years) Finnish participants who responded to the Childhood Trauma Questionnaire-Short Form as well as questions regarding family structure. Results: The prevalence of CSA experiences varied between 0.7-4.6% for men and 1.8-7.5% for women depending on the item. Younger cohorts reported less CSA as well as less of the risk factors (physical neglect and abuse, emotional neglect and abuse, parental substances abuse, not growing up with both biological parents) that were positively associated with the likelihood of CSA. The effects of these risk factors did not vary as a function of the cohort. Also, the declining trend was not explainable by social desirability being higher in the younger cohorts. Conclusions: The results suggest that there is a real decline in the prevalence of CSA and it is associated with a simultaneous decline in factors associated with CSA. © 2011 Elsevier Ltd.","author":[{"dropping-particle":"","family":"Laaksonen","given":"Toni","non-dropping-particle":"","parse-names":false,"suffix":""},{"dropping-particle":"","family":"Sariola","given":"Heikki","non-dropping-particle":"","parse-names":false,"suffix":""},{"dropping-particle":"","family":"Johansson","given":"Ada","non-dropping-particle":"","parse-names":false,"suffix":""},{"dropping-particle":"","family":"Jern","given":"Patrick","non-dropping-particle":"","parse-names":false,"suffix":""},{"dropping-particle":"","family":"Varjonen","given":"Markus","non-dropping-particle":"","parse-names":false,"suffix":""},{"dropping-particle":"","family":"Pahlen","given":"Bettina","non-dropping-particle":"Von Der","parse-names":false,"suffix":""},{"dropping-particle":"","family":"Sandnabba","given":"N. Kenneth","non-dropping-particle":"","parse-names":false,"suffix":""},{"dropping-particle":"","family":"Santtila","given":"Pekka","non-dropping-particle":"","parse-names":false,"suffix":""}],"container-title":"Child Abuse and Neglect","id":"ITEM-1","issue":"7","issued":{"date-parts":[["2011"]]},"page":"480-490","publisher":"Elsevier Ltd","title":"Changes in the prevalence of child sexual abuse, its risk factors, and their associations as a function of age cohort in a Finnish population sample","type":"article-journal","volume":"35"},"uris":["http://www.mendeley.com/documents/?uuid=1d8868d4-2dd0-4dcc-b7a6-bb8f1c8e3b34"]},{"id":"ITEM-2","itemData":{"DOI":"10.1177/1077559519848489","ISSN":"15526119","abstract":"Child sexual abuse (CSA) is associated with a range of negative consequences for victims that are compounded when it recurs. We used the National Child Abuse and Neglect Data System to study a cohort of 42,036 children in 45 U.S. states with sexual abuse reports first confirmed by child protective services (CPS) during 2010 in order to identify children with increased risk for recurrence. A small proportion (3.6%) had a second confirmed sexual abuse report through 2015. In multivariate models, female gender, family hearing and vision problems, other child maltreatment, and other family violence were associated with increased risk of recurrence, while younger children, Hispanic families, and those with substance abuse tended to have less risk. One fourth of recurrence involved the same offender, usually a parent or caretaker. One fourth of cases were referred for any CPS services, which were more likely to be provided for families with poverty, drug or alcohol problems, or other violence. Only substance abuse services significantly reduced recurrence in multivariable models. Those trying to reduce CSA recurrence should recognize that certain case characteristics are associated with greater recurrence, and most CPS services do not significantly reduce CSA recurrence.","author":[{"dropping-particle":"","family":"Palusci","given":"Vincent J.","non-dropping-particle":"","parse-names":false,"suffix":""},{"dropping-particle":"","family":"Ilardi","given":"Marissa","non-dropping-particle":"","parse-names":false,"suffix":""}],"container-title":"Child Maltreatment","id":"ITEM-2","issue":"1","issued":{"date-parts":[["2020"]]},"page":"106-116","title":"Risk factors and services to reduce child sexual abuse recurrence","type":"article-journal","volume":"25"},"uris":["http://www.mendeley.com/documents/?uuid=7db53252-6684-4a33-aedc-2f37a82e94a9"]}],"mendeley":{"formattedCitation":"(Laaksonen et al., 2011; Palusci &amp; Ilardi, 2020)","plainTextFormattedCitation":"(Laaksonen et al., 2011; Palusci &amp; Ilardi, 2020)","previouslyFormattedCitation":"(Laaksonen et al., 2011; Palusci &amp; Ilardi, 2020)"},"properties":{"noteIndex":0},"schema":"https://github.com/citation-style-language/schema/raw/master/csl-citation.json"}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 xml:space="preserve">(Laaksonen et al., 2011; </w:t>
      </w:r>
      <w:r w:rsidRPr="00A51941">
        <w:rPr>
          <w:rFonts w:ascii="Times New Roman" w:hAnsi="Times New Roman" w:cs="Times New Roman"/>
          <w:noProof/>
          <w:sz w:val="24"/>
          <w:szCs w:val="24"/>
        </w:rPr>
        <w:lastRenderedPageBreak/>
        <w:t>Palusci &amp; Ilardi, 2020)</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Taken together, these studies of associated CSA risk-factors suggest that there are some home environments in which CSA occurs more frequently than others, namely those where parents could benefit from increased support, where there is a need for parenting skills enhancement, or when the family has had contact with the child welfare system. Because these are the households in which CSA is most likely to occur, targeting such home environments holds promise for reducing the risk of CSA. Families who are accepted for services within the child welfare system exemplify these high-risk households. As such, engaging parents receiving services within the child welfare system is a viable option for a selective approach to the primary prevention of CSA that would eliminate the cost of screening.</w:t>
      </w:r>
    </w:p>
    <w:p w14:paraId="2EDD76F9" w14:textId="77777777" w:rsidR="007D3D49" w:rsidRPr="00A51941" w:rsidRDefault="007D3D49" w:rsidP="007D3D49">
      <w:pPr>
        <w:spacing w:after="0" w:line="480" w:lineRule="auto"/>
        <w:ind w:firstLine="720"/>
        <w:rPr>
          <w:rFonts w:ascii="Times New Roman" w:hAnsi="Times New Roman" w:cs="Times New Roman"/>
          <w:sz w:val="24"/>
          <w:szCs w:val="24"/>
        </w:rPr>
      </w:pPr>
      <w:r w:rsidRPr="00A51941">
        <w:rPr>
          <w:rFonts w:ascii="Times New Roman" w:hAnsi="Times New Roman" w:cs="Times New Roman"/>
          <w:sz w:val="24"/>
          <w:szCs w:val="24"/>
        </w:rPr>
        <w:t xml:space="preserve">As with other prevention approaches delivered to at-risk parents, in a selective prevention program it will be important to overcome the problem of parental engagement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DOI":"10.1007/s10826-018-1279-x","ISBN":"3826594797","ISSN":"10621024","author":[{"dropping-particle":"","family":"Guastaferro","given":"Kate","non-dropping-particle":"","parse-names":false,"suffix":""},{"dropping-particle":"","family":"Self-Brown","given":"Shannon","non-dropping-particle":"","parse-names":false,"suffix":""},{"dropping-particle":"","family":"Shanley","given":"Jenelle R.","non-dropping-particle":"","parse-names":false,"suffix":""},{"dropping-particle":"","family":"Whitaker","given":"Daniel J.","non-dropping-particle":"","parse-names":false,"suffix":""},{"dropping-particle":"","family":"Lutzker","given":"John R.","non-dropping-particle":"","parse-names":false,"suffix":""}],"container-title":"Journal of Child and Family Studies","id":"ITEM-1","issued":{"date-parts":[["2018"]]},"publisher":"Springer US","title":"Engagement in home visiting: An overview of the problem and how a coalition of researchers worked to address this cross-model concern","type":"article-journal"},"uris":["http://www.mendeley.com/documents/?uuid=3259690a-43cc-4ff3-82f8-417da4d55567"]}],"mendeley":{"formattedCitation":"(Guastaferro, Self-Brown, Shanley, Whitaker, &amp; Lutzker, 2018)","manualFormatting":"(Guastaferro et al., 2018)","plainTextFormattedCitation":"(Guastaferro, Self-Brown, Shanley, Whitaker, &amp; Lutzker, 2018)","previouslyFormattedCitation":"(Guastaferro, Self-Brown, Shanley, Whitaker, &amp; Lutzker, 2018)"},"properties":{"noteIndex":0},"schema":"https://github.com/citation-style-language/schema/raw/master/csl-citation.json"}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(Guastaferro et al., 2018)</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For example </w:t>
      </w:r>
      <w:proofErr w:type="spellStart"/>
      <w:r w:rsidRPr="00A51941">
        <w:rPr>
          <w:rFonts w:ascii="Times New Roman" w:hAnsi="Times New Roman" w:cs="Times New Roman"/>
          <w:sz w:val="24"/>
          <w:szCs w:val="24"/>
        </w:rPr>
        <w:t>Berrick</w:t>
      </w:r>
      <w:proofErr w:type="spellEnd"/>
      <w:r w:rsidRPr="00A51941">
        <w:rPr>
          <w:rFonts w:ascii="Times New Roman" w:hAnsi="Times New Roman" w:cs="Times New Roman"/>
          <w:sz w:val="24"/>
          <w:szCs w:val="24"/>
        </w:rPr>
        <w:t xml:space="preserve">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{"citationItems":[{"id":"ITEM-1","itemData":{"abstract":"This study examined the impact of parent education meetings on preschool parents&amp;#039; knowledge of child abuse. One hundred sixteen parents participated in the study. Parents were selected from seven preschool sites across California. Parent education appeared to have little effect upon (1) parents&amp;#039; knowledge of the prevalence of child sexual abuse, (2) indicators of abuse, or (3) parents&amp;#039; appropriate response to disclosures. Results from the parent data show the negligible effect of parent education as it is presently delivered. Few parents attend the meetings, and those who do learn very little.","author":[{"dropping-particle":"","family":"Berrick","given":"J D","non-dropping-particle":"","parse-names":false,"suffix":""}],"container-title":"Child Abuse Negl","id":"ITEM-1","issue":"4","issued":{"date-parts":[["1988"]]},"page":"543-553","title":"Parental involvement in child abuse prevention training: What do they learn?","type":"article-journal","volume":"12"},"suppress-author":1,"uris":["http://www.mendeley.com/documents/?uuid=da094547-fc6e-49f8-a5f5-0c6b163a61f6"]}],"mendeley":{"formattedCitation":"(1988)","plainTextFormattedCitation":"(1988)","previouslyFormattedCitation":"(1988)"},"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(1988)</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reported a 19% attrition rate between pre- and post-test in addition to a low initial participation rate. Rather than offering a standalone program, it may be beneficial to add CSA prevention content to parent training programs, such as those included in the 2018 Family First Prevention Service Act, with which many at-risk or child welfare-involved parents are already engaged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DOI":"10.1007/s11121-015-0553-z","ISSN":"1389-4986","author":[{"dropping-particle":"","family":"Mendelson","given":"T","non-dropping-particle":"","parse-names":false,"suffix":""},{"dropping-particle":"","family":"Letourneau","given":"EJ","non-dropping-particle":"","parse-names":false,"suffix":""}],"container-title":"Prevention Science","id":"ITEM-1","issued":{"date-parts":[["2015"]]},"page":"844-852","title":"Parent-focused prevention of child sexual abuse","type":"article-journal","volume":"16"},"uris":["http://www.mendeley.com/documents/?uuid=67e4ffe6-d31e-4ed7-80dd-e0639226df8f"]}],"mendeley":{"formattedCitation":"(Mendelson &amp; Letourneau, 2015)","plainTextFormattedCitation":"(Mendelson &amp; Letourneau, 2015)","previouslyFormattedCitation":"(Mendelson &amp; Letourneau, 2015)"},"properties":{"noteIndex":0},"schema":"https://github.com/citation-style-language/schema/raw/master/csl-citation.json"}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(Mendelson &amp; Letourneau, 2015)</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CSA-specific prevention skills and protective behaviors are reinforced by fundamental parenting skills and concepts taught in parent training programs, which focus on child-development, strategies to improve parent-child interactions and communication as well as strategies to reduce problematic child behaviors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{"citationItems":[{"id":"ITEM-1","itemData":{"DOI":"10.1177/1049731505284391","ISBN":"1049-7315","ISSN":"1049-7315","abstract":"Objective: A meta-analysis was conducted to evaluate the ability of parent training programs to reduce parents’risk of abusingachild. Method:Atotal of 23studies were submitted to ameta-analysis. Outcomesof interest included par- ents’attitudes toward abuse, emotional adjustment, child-rearing skills, and actual abuse. Conclusions: Immediately following treatment and prior to moderator analyses, effect sizes for all outcomes were in the moderate range (d = 0.45-0.60).Moderator analyses suggest inclusion ofhomevisitors and conducting parent training in both ahomeand office setting significantly enhanced the effectiveness. In addition, inclusion of a behavioral component and deliver- ingsomeof the parent training in anindividual setting,as opposed to grouponly, enhanced outcomes significantly","author":[{"dropping-particle":"","family":"Lundahl","given":"B. W.","non-dropping-particle":"","parse-names":false,"suffix":""},{"dropping-particle":"","family":"Nimer","given":"Janelle","non-dropping-particle":"","parse-names":false,"suffix":""},{"dropping-particle":"","family":"Parsons","given":"Bruce","non-dropping-particle":"","parse-names":false,"suffix":""}],"container-title":"Research on Social Work Practice","id":"ITEM-1","issue":"3","issued":{"date-parts":[["2006"]]},"page":"251-262","title":"Preventing child abuse: A meta-analysis of parent training programs","type":"article-journal","volume":"16"},"uris":["http://www.mendeley.com/documents/?uuid=8156e43d-bba0-4a2b-a42f-7a5c7d95dda9"]},{"id":"ITEM-2","itemData":{"DOI":"10.1007/978-94-007-7404-9","ISBN":"978-94-007-7403-2","author":[{"dropping-particle":"","family":"Timmer","given":"Susan","non-dropping-particle":"","parse-names":false,"suffix":""},{"dropping-particle":"","family":"Urquiza","given":"Anthony","non-dropping-particle":"","parse-names":false,"suffix":""}],"container-title":"Evidence-based approaches for the treatment of maltreated children: Considering core components and treatment effectiveness","id":"ITEM-2","issued":{"date-parts":[["2014"]]},"page":"19-39","publisher":"Springer","publisher-place":"New York, NY","title":"Why we think we can make things better with evidence-based practice: Theoretical and developmental context","type":"chapter","volume":"3"},"uris":["http://www.mendeley.com/documents/?uuid=883d5c98-149a-4685-8861-c75373203a89"]}],"mendeley":{"formattedCitation":"(Lundahl, Nimer, &amp; Parsons, 2006; Timmer &amp; Urquiza, 2014)","manualFormatting":"(Lundahl et al., 2006; Timmer &amp; Urquiza, 2014)","plainTextFormattedCitation":"(Lundahl, Nimer, &amp; Parsons, 2006; Timmer &amp; Urquiza, 2014)","previouslyFormattedCitation":"(Lundahl, Nimer, &amp; Parsons, 2006; Timmer &amp; Urquiza, 2014)"},"properties":{"noteIndex":0},"schema":"https://github.com/citation-style-language/schema/raw/master/csl-citation.json"}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(Lundahl et al., 2006; Timmer &amp; Urquiza, 2014)</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w:t>
      </w:r>
      <w:r w:rsidRPr="00A51941">
        <w:rPr>
          <w:rFonts w:ascii="Times New Roman" w:eastAsia="Times New Roman" w:hAnsi="Times New Roman" w:cs="Times New Roman"/>
          <w:sz w:val="24"/>
          <w:szCs w:val="24"/>
        </w:rPr>
        <w:t xml:space="preserve"> Parents need to know how to create safe environments where CSA is less likely to occur, how to identify normative and nonnormative sexual development, and how to communicate with children about sexual topics that will increase their perception of danger cues as well as behavioral and physical signs of CSA. </w:t>
      </w:r>
      <w:r w:rsidRPr="00A51941">
        <w:rPr>
          <w:rFonts w:ascii="Times New Roman" w:hAnsi="Times New Roman" w:cs="Times New Roman"/>
          <w:sz w:val="24"/>
          <w:szCs w:val="24"/>
        </w:rPr>
        <w:t xml:space="preserve">An </w:t>
      </w:r>
      <w:r w:rsidRPr="00A51941">
        <w:rPr>
          <w:rFonts w:ascii="Times New Roman" w:hAnsi="Times New Roman" w:cs="Times New Roman"/>
          <w:sz w:val="24"/>
          <w:szCs w:val="24"/>
        </w:rPr>
        <w:lastRenderedPageBreak/>
        <w:t>additive and complementary to existing parenting training approaches could easily be leveraged into the implementation infrastructure of child welfare systems. Such an approach would maximize the potential for dissemination and scale-up without additional resources.</w:t>
      </w:r>
    </w:p>
    <w:p w14:paraId="0129F56B" w14:textId="77777777" w:rsidR="007D3D49" w:rsidRPr="00A51941" w:rsidRDefault="007D3D49" w:rsidP="007D3D49">
      <w:pPr>
        <w:spacing w:after="0" w:line="480" w:lineRule="auto"/>
        <w:ind w:firstLine="720"/>
        <w:rPr>
          <w:rFonts w:ascii="Times New Roman" w:hAnsi="Times New Roman" w:cs="Times New Roman"/>
          <w:sz w:val="24"/>
          <w:szCs w:val="24"/>
        </w:rPr>
      </w:pPr>
      <w:r w:rsidRPr="00A51941">
        <w:rPr>
          <w:rFonts w:ascii="Times New Roman" w:hAnsi="Times New Roman" w:cs="Times New Roman"/>
          <w:sz w:val="24"/>
          <w:szCs w:val="24"/>
        </w:rPr>
        <w:t xml:space="preserve">A CSA-specific parent education module, </w:t>
      </w:r>
      <w:r w:rsidRPr="00A51941">
        <w:rPr>
          <w:rFonts w:ascii="Times New Roman" w:hAnsi="Times New Roman" w:cs="Times New Roman"/>
          <w:i/>
          <w:iCs/>
          <w:sz w:val="24"/>
          <w:szCs w:val="24"/>
        </w:rPr>
        <w:t xml:space="preserve">Smart Parents – Safe and Healthy Kids </w:t>
      </w:r>
      <w:r w:rsidRPr="00A51941">
        <w:rPr>
          <w:rFonts w:ascii="Times New Roman" w:hAnsi="Times New Roman" w:cs="Times New Roman"/>
          <w:sz w:val="24"/>
          <w:szCs w:val="24"/>
        </w:rPr>
        <w:t>(SPSHK),</w:t>
      </w:r>
      <w:r w:rsidRPr="00A51941">
        <w:rPr>
          <w:rFonts w:ascii="Times New Roman" w:hAnsi="Times New Roman" w:cs="Times New Roman"/>
          <w:i/>
          <w:iCs/>
          <w:sz w:val="24"/>
          <w:szCs w:val="24"/>
        </w:rPr>
        <w:t xml:space="preserve"> </w:t>
      </w:r>
      <w:r w:rsidRPr="00A51941">
        <w:rPr>
          <w:rFonts w:ascii="Times New Roman" w:hAnsi="Times New Roman" w:cs="Times New Roman"/>
          <w:sz w:val="24"/>
          <w:szCs w:val="24"/>
        </w:rPr>
        <w:t xml:space="preserve">was developed to leverage the evidence-based content of parent training programs by adding three key CSA-prevention components; healthy child sexual development, parent-child communication about sex and sexual behaviors, and CSA-specific safety strategies such as vetting a babysitter and monitoring one-on-one time with adults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DOI":"10.1007/s10826-019-01410-y","ISSN":"10621024","author":[{"dropping-particle":"","family":"Guastaferro","given":"Kate","non-dropping-particle":"","parse-names":false,"suffix":""},{"dropping-particle":"","family":"Zadzora","given":"Kathleen M.","non-dropping-particle":"","parse-names":false,"suffix":""},{"dropping-particle":"","family":"Reader","given":"Jonathan M.","non-dropping-particle":"","parse-names":false,"suffix":""},{"dropping-particle":"","family":"Shanley","given":"Jenelle","non-dropping-particle":"","parse-names":false,"suffix":""},{"dropping-particle":"","family":"Noll","given":"Jennie G.","non-dropping-particle":"","parse-names":false,"suffix":""}],"container-title":"Journal of Child and Family Studies","id":"ITEM-1","issue":"7","issued":{"date-parts":[["2019"]]},"page":"1862-1877","publisher":"Springer US","title":"A Parent-focused child sexual abuse prevention program: Development, acceptability, and feasibility","type":"article-journal","volume":"28"},"uris":["http://www.mendeley.com/documents/?uuid=d7c80bb8-fe45-42db-8986-bced7363a802"]}],"mendeley":{"formattedCitation":"(Guastaferro, Zadzora, Reader, Shanley, &amp; Noll, 2019)","manualFormatting":"(Guastaferro et al., 2019)","plainTextFormattedCitation":"(Guastaferro, Zadzora, Reader, Shanley, &amp; Noll, 2019)","previouslyFormattedCitation":"(Guastaferro, Zadzora, Reader, Shanley, &amp; Noll, 2019)"},"properties":{"noteIndex":0},"schema":"https://github.com/citation-style-language/schema/raw/master/csl-citation.json"}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(Guastaferro et al., 2019)</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Behaviorally based, the module presents developmentally comprehensive information to parents of children 0–13 and utilizes role-playing scenarios and activities to maximize parents’ use of learned skills. For example, in the healthy sexual development component, parents learn about healthy sexual development and practice answering questions about sexual development (i.e., “where do babies come from?”) in a developmentally appropriate manner for the age of their child. Because the module builds upon the foundational skills of general parent training programs, SPSHK is delivered in one session added to the general parenting training program. An acceptability and feasibility pilot study confirmed the module could be delivered within a single session (~60 minutes) and the content and presentation of information were satisfactory to providers and parents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DOI":"10.1007/s10826-019-01410-y","ISSN":"10621024","author":[{"dropping-particle":"","family":"Guastaferro","given":"Kate","non-dropping-particle":"","parse-names":false,"suffix":""},{"dropping-particle":"","family":"Zadzora","given":"Kathleen M.","non-dropping-particle":"","parse-names":false,"suffix":""},{"dropping-particle":"","family":"Reader","given":"Jonathan M.","non-dropping-particle":"","parse-names":false,"suffix":""},{"dropping-particle":"","family":"Shanley","given":"Jenelle","non-dropping-particle":"","parse-names":false,"suffix":""},{"dropping-particle":"","family":"Noll","given":"Jennie G.","non-dropping-particle":"","parse-names":false,"suffix":""}],"container-title":"Journal of Child and Family Studies","id":"ITEM-1","issue":"7","issued":{"date-parts":[["2019"]]},"page":"1862-1877","publisher":"Springer US","title":"A Parent-focused child sexual abuse prevention program: Development, acceptability, and feasibility","type":"article-journal","volume":"28"},"uris":["http://www.mendeley.com/documents/?uuid=d7c80bb8-fe45-42db-8986-bced7363a802"]}],"mendeley":{"formattedCitation":"(Guastaferro et al., 2019)","plainTextFormattedCitation":"(Guastaferro et al., 2019)","previouslyFormattedCitation":"(Guastaferro et al., 2019)"},"properties":{"noteIndex":0},"schema":"https://github.com/citation-style-language/schema/raw/master/csl-citation.json"}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(Guastaferro et al., 2019)</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In open-ended questions, providers reiterated their willingness to include the module referencing the lack of this information in the programs they currently deliver and the needs of the parents they serve. </w:t>
      </w:r>
    </w:p>
    <w:p w14:paraId="41B8BDDF" w14:textId="77777777" w:rsidR="007D3D49" w:rsidRPr="00A51941" w:rsidRDefault="007D3D49" w:rsidP="007D3D49">
      <w:pPr>
        <w:spacing w:after="0" w:line="480" w:lineRule="auto"/>
        <w:rPr>
          <w:rFonts w:ascii="Times New Roman" w:hAnsi="Times New Roman" w:cs="Times New Roman"/>
          <w:b/>
          <w:bCs/>
          <w:sz w:val="24"/>
          <w:szCs w:val="24"/>
        </w:rPr>
      </w:pPr>
      <w:r w:rsidRPr="00A51941">
        <w:rPr>
          <w:rFonts w:ascii="Times New Roman" w:hAnsi="Times New Roman" w:cs="Times New Roman"/>
          <w:b/>
          <w:bCs/>
          <w:sz w:val="24"/>
          <w:szCs w:val="24"/>
        </w:rPr>
        <w:t>The Current Study</w:t>
      </w:r>
    </w:p>
    <w:p w14:paraId="6758F019" w14:textId="77777777" w:rsidR="007D3D49" w:rsidRPr="00A51941" w:rsidRDefault="007D3D49" w:rsidP="007D3D49">
      <w:pPr>
        <w:spacing w:after="0" w:line="480" w:lineRule="auto"/>
        <w:ind w:firstLine="720"/>
        <w:rPr>
          <w:rFonts w:ascii="Times New Roman" w:hAnsi="Times New Roman" w:cs="Times New Roman"/>
          <w:sz w:val="24"/>
          <w:szCs w:val="24"/>
        </w:rPr>
      </w:pPr>
      <w:r w:rsidRPr="00A51941">
        <w:rPr>
          <w:rFonts w:ascii="Times New Roman" w:hAnsi="Times New Roman" w:cs="Times New Roman"/>
          <w:sz w:val="24"/>
          <w:szCs w:val="24"/>
        </w:rPr>
        <w:t xml:space="preserve">The current study sought to examine the effectiveness of SPSHK on parents’ CSA-related awareness and use of protective behavior strategies when added to an existing evidence-based </w:t>
      </w:r>
      <w:r w:rsidRPr="00A51941">
        <w:rPr>
          <w:rFonts w:ascii="Times New Roman" w:hAnsi="Times New Roman" w:cs="Times New Roman"/>
          <w:sz w:val="24"/>
          <w:szCs w:val="24"/>
        </w:rPr>
        <w:lastRenderedPageBreak/>
        <w:t xml:space="preserve">parent training program. Parents as Teachers (PAT) is widely disseminated to parents of children under five and focuses on improving parenting skills by strengthening parent-child interactions, encouraging development centered parenting, and enhancing general family well-being. PAT is delivered in biweekly or monthly sessions (based on risk level) and includes group connections, health screenings, and referrals to resource networks. PAT has demonstrated positive effects on child and parent outcomes related to school readiness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{"citationItems":[{"id":"ITEM-1","itemData":{"DOI":"10.1007/s10935-008-0132-1","ISBN":"0278-095X","ISSN":"0278095X","PMID":"18404381","abstract":"This study is a replication and extension of an earlier study, using a larger sample, a better measure of poverty status, and new longitudinal data. The study used path analysis to test hypothesized models of how the Parents as Teachers (PAT) program affects children's school readiness and subsequent third-grade achievement. Participants were 5,721 kindergarten children who were chosen to be representative of all children beginning public school in the state of Missouri in the fall of 1998-2000. These children were subsequently located in the state's third-grade test database 4-5 years later (82% of the original kindergarten sample). The causal models, which postulated both direct and indirect effects of PAT, were strongly supported by the data. EDITORS' STRATEGIC IMPLICATIONS: The findings add to the evidence that the PAT home visiting program holds promise as a primary prevention program. The authors demonstrate how parenting practices (including reading to children and enrolling them in preschool) promote both school readiness and subsequent academic achievement, but they also remind us of the pervasive effects of poverty.","author":[{"dropping-particle":"","family":"Zigler","given":"Edward","non-dropping-particle":"","parse-names":false,"suffix":""},{"dropping-particle":"","family":"Pfannenstiel","given":"Judy C.","non-dropping-particle":"","parse-names":false,"suffix":""},{"dropping-particle":"","family":"Seitz","given":"Victoria","non-dropping-particle":"","parse-names":false,"suffix":""}],"container-title":"Journal of Primary Prevention","id":"ITEM-1","issue":"2","issued":{"date-parts":[["2008"]]},"page":"103-120","title":"The Parents as Teachers program and school success: A replication and extension","type":"article-journal","volume":"29"},"uris":["http://www.mendeley.com/documents/?uuid=6848984a-50df-4262-83ef-c1eaa8f1999e"]}],"mendeley":{"formattedCitation":"(Zigler, Pfannenstiel, &amp; Seitz, 2008)","manualFormatting":"(Zigler et al., 2008)","plainTextFormattedCitation":"(Zigler, Pfannenstiel, &amp; Seitz, 2008)","previouslyFormattedCitation":"(Zigler, Pfannenstiel, &amp; Seitz, 2008)"},"properties":{"noteIndex":0},"schema":"https://github.com/citation-style-language/schema/raw/master/csl-citation.json"}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(Zigler et al., 2008)</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and is often used to address general parenting skills among those who have come into contact with the child welfare system. In addition to child welfare involvement, parents may become involved with PAT through schools or community-based referrals (e.g., placement services, substance use services, or voluntarily).</w:t>
      </w:r>
    </w:p>
    <w:p w14:paraId="59FFDD73" w14:textId="77777777" w:rsidR="007D3D49" w:rsidRPr="00A51941" w:rsidRDefault="007D3D49" w:rsidP="007D3D49">
      <w:pPr>
        <w:spacing w:after="0" w:line="480" w:lineRule="auto"/>
        <w:ind w:firstLine="720"/>
        <w:rPr>
          <w:rFonts w:ascii="Times New Roman" w:hAnsi="Times New Roman" w:cs="Times New Roman"/>
          <w:sz w:val="24"/>
          <w:szCs w:val="24"/>
        </w:rPr>
      </w:pPr>
      <w:r w:rsidRPr="00A51941">
        <w:rPr>
          <w:rFonts w:ascii="Times New Roman" w:hAnsi="Times New Roman" w:cs="Times New Roman"/>
          <w:sz w:val="24"/>
          <w:szCs w:val="24"/>
        </w:rPr>
        <w:t>Using a cluster randomized experimental design, the current study compared the effect of SPSHK added to PAT (PAT+SPSHK) to PAT as usual (PAT-AU). It was hypothesized that parents who received PAT+SPSHK would have greater awareness about how to recognize signs of and prevent CSA and would engage in protective behaviors (i.e., monitoring one-on-one time between child and adults, vetting babysitters) to a greater degree than parents who received PAT-AU, and that gains would be maintained one month post-intervention. Since it is important that adding additional content to existing interventions does not alter the efficacy of the evidence-based intervention, a secondary objective of this study was to demonstrate that adding SPSHK not negatively impact the efficacy of PAT.</w:t>
      </w:r>
    </w:p>
    <w:p w14:paraId="47DF73F9" w14:textId="77777777" w:rsidR="007D3D49" w:rsidRPr="00A51941" w:rsidRDefault="007D3D49" w:rsidP="007D3D49">
      <w:pPr>
        <w:spacing w:after="0" w:line="480" w:lineRule="auto"/>
        <w:jc w:val="center"/>
        <w:rPr>
          <w:rFonts w:ascii="Times New Roman" w:hAnsi="Times New Roman" w:cs="Times New Roman"/>
          <w:sz w:val="24"/>
          <w:szCs w:val="24"/>
        </w:rPr>
      </w:pPr>
      <w:r w:rsidRPr="00A51941">
        <w:rPr>
          <w:rFonts w:ascii="Times New Roman" w:hAnsi="Times New Roman" w:cs="Times New Roman"/>
          <w:b/>
          <w:sz w:val="24"/>
          <w:szCs w:val="24"/>
        </w:rPr>
        <w:t>Method</w:t>
      </w:r>
    </w:p>
    <w:p w14:paraId="6270E036" w14:textId="77777777" w:rsidR="007D3D49" w:rsidRPr="00A51941" w:rsidRDefault="007D3D49" w:rsidP="007D3D49">
      <w:pPr>
        <w:spacing w:after="0" w:line="480" w:lineRule="auto"/>
        <w:rPr>
          <w:rFonts w:ascii="Times New Roman" w:hAnsi="Times New Roman" w:cs="Times New Roman"/>
          <w:b/>
          <w:bCs/>
          <w:sz w:val="24"/>
          <w:szCs w:val="24"/>
        </w:rPr>
      </w:pPr>
      <w:r w:rsidRPr="00A51941">
        <w:rPr>
          <w:rFonts w:ascii="Times New Roman" w:hAnsi="Times New Roman" w:cs="Times New Roman"/>
          <w:b/>
          <w:bCs/>
          <w:sz w:val="24"/>
          <w:szCs w:val="24"/>
        </w:rPr>
        <w:t>Setting and Participants</w:t>
      </w:r>
    </w:p>
    <w:p w14:paraId="1F565FC5" w14:textId="77777777" w:rsidR="007D3D49" w:rsidRPr="00A51941" w:rsidRDefault="007D3D49" w:rsidP="007D3D49">
      <w:pPr>
        <w:spacing w:after="0" w:line="480" w:lineRule="auto"/>
        <w:rPr>
          <w:rFonts w:ascii="Times New Roman" w:hAnsi="Times New Roman" w:cs="Times New Roman"/>
          <w:sz w:val="24"/>
          <w:szCs w:val="24"/>
        </w:rPr>
      </w:pPr>
      <w:r w:rsidRPr="00A51941">
        <w:rPr>
          <w:rFonts w:ascii="Times New Roman" w:hAnsi="Times New Roman" w:cs="Times New Roman"/>
          <w:sz w:val="24"/>
          <w:szCs w:val="24"/>
        </w:rPr>
        <w:tab/>
        <w:t xml:space="preserve">A cluster randomized trial was conducted in cooperation with community-based agencies delivering PAT within the child welfare system of a large mid-Atlantic state which has a large </w:t>
      </w:r>
      <w:r w:rsidRPr="00A51941">
        <w:rPr>
          <w:rFonts w:ascii="Times New Roman" w:hAnsi="Times New Roman" w:cs="Times New Roman"/>
          <w:sz w:val="24"/>
          <w:szCs w:val="24"/>
        </w:rPr>
        <w:lastRenderedPageBreak/>
        <w:t xml:space="preserve">pre-existing statewide implementation infrastructure to support PAT program fidelity. Eligible parents—broadly defined to include biological, adoptive, foster, and </w:t>
      </w:r>
      <w:proofErr w:type="gramStart"/>
      <w:r w:rsidRPr="00A51941">
        <w:rPr>
          <w:rFonts w:ascii="Times New Roman" w:hAnsi="Times New Roman" w:cs="Times New Roman"/>
          <w:sz w:val="24"/>
          <w:szCs w:val="24"/>
        </w:rPr>
        <w:t>step parents</w:t>
      </w:r>
      <w:proofErr w:type="gramEnd"/>
      <w:r w:rsidRPr="00A51941">
        <w:rPr>
          <w:rFonts w:ascii="Times New Roman" w:hAnsi="Times New Roman" w:cs="Times New Roman"/>
          <w:sz w:val="24"/>
          <w:szCs w:val="24"/>
        </w:rPr>
        <w:t xml:space="preserve"> as well as parents’ partners, or other adult relatives—were currently enrolled in PAT, over 18 years old, and the parent to a child &lt; 5. One parent per household participated in the research. </w:t>
      </w:r>
    </w:p>
    <w:p w14:paraId="4FA4CE79" w14:textId="77777777" w:rsidR="007D3D49" w:rsidRPr="00A51941" w:rsidRDefault="007D3D49" w:rsidP="007D3D49">
      <w:pPr>
        <w:spacing w:after="0" w:line="480" w:lineRule="auto"/>
        <w:ind w:firstLine="720"/>
        <w:rPr>
          <w:rFonts w:ascii="Times New Roman" w:hAnsi="Times New Roman" w:cs="Times New Roman"/>
          <w:sz w:val="24"/>
          <w:szCs w:val="24"/>
        </w:rPr>
      </w:pPr>
      <w:r w:rsidRPr="00A51941">
        <w:rPr>
          <w:rFonts w:ascii="Times New Roman" w:hAnsi="Times New Roman" w:cs="Times New Roman"/>
          <w:sz w:val="24"/>
          <w:szCs w:val="24"/>
        </w:rPr>
        <w:t>A total of 110 parents consented to participate and completed the baseline assessment (Table 1). The sample was predominantly female (95%), White (96%), and single or unmarried (51%). The mean age of participants was 31 (</w:t>
      </w:r>
      <w:r w:rsidRPr="00A51941">
        <w:rPr>
          <w:rFonts w:ascii="Times New Roman" w:hAnsi="Times New Roman" w:cs="Times New Roman"/>
          <w:i/>
          <w:sz w:val="24"/>
          <w:szCs w:val="24"/>
        </w:rPr>
        <w:t xml:space="preserve">SD </w:t>
      </w:r>
      <w:r w:rsidRPr="00A51941">
        <w:rPr>
          <w:rFonts w:ascii="Times New Roman" w:hAnsi="Times New Roman" w:cs="Times New Roman"/>
          <w:sz w:val="24"/>
          <w:szCs w:val="24"/>
        </w:rPr>
        <w:t>= 8.6; range 19–73). The largest proportion of the sample had completed high school or obtained a GED (47%), but 12% of the sample did not complete high school. Slightly over a quarter (28%) of respondents reported an annual income &lt; $5,000 and another quarter (24%) reported an annual income ≥ $40,000. The majority (79%) of the sample reported receiving at least some aid, most commonly WIC and/or Medicaid. Participants reported being a parent to an average of 2.5 children under 5. There were statistically significant (</w:t>
      </w:r>
      <w:r w:rsidRPr="00A51941">
        <w:rPr>
          <w:rFonts w:ascii="Times New Roman" w:hAnsi="Times New Roman" w:cs="Times New Roman"/>
          <w:i/>
          <w:sz w:val="24"/>
          <w:szCs w:val="24"/>
        </w:rPr>
        <w:t>p</w:t>
      </w:r>
      <w:r w:rsidRPr="00A51941">
        <w:rPr>
          <w:rFonts w:ascii="Times New Roman" w:hAnsi="Times New Roman" w:cs="Times New Roman"/>
          <w:sz w:val="24"/>
          <w:szCs w:val="24"/>
        </w:rPr>
        <w:t xml:space="preserve"> &lt; .05) differences on some characteristics between groups (Table 1) that were controlled for in analytic models. </w:t>
      </w:r>
    </w:p>
    <w:p w14:paraId="0091E3DC" w14:textId="77777777" w:rsidR="007D3D49" w:rsidRPr="00A51941" w:rsidRDefault="007D3D49" w:rsidP="007D3D49">
      <w:pPr>
        <w:spacing w:after="0" w:line="480" w:lineRule="auto"/>
        <w:rPr>
          <w:rFonts w:ascii="Times New Roman" w:hAnsi="Times New Roman" w:cs="Times New Roman"/>
          <w:sz w:val="24"/>
          <w:szCs w:val="24"/>
        </w:rPr>
      </w:pPr>
      <w:r w:rsidRPr="00A51941">
        <w:rPr>
          <w:rFonts w:ascii="Times New Roman" w:hAnsi="Times New Roman" w:cs="Times New Roman"/>
          <w:b/>
          <w:sz w:val="24"/>
          <w:szCs w:val="24"/>
        </w:rPr>
        <w:t>Procedure</w:t>
      </w:r>
    </w:p>
    <w:p w14:paraId="77DF119C" w14:textId="77777777" w:rsidR="007D3D49" w:rsidRPr="00A51941" w:rsidRDefault="007D3D49" w:rsidP="007D3D49">
      <w:pPr>
        <w:spacing w:after="0" w:line="480" w:lineRule="auto"/>
        <w:rPr>
          <w:rFonts w:ascii="Times New Roman" w:hAnsi="Times New Roman" w:cs="Times New Roman"/>
          <w:sz w:val="24"/>
          <w:szCs w:val="24"/>
        </w:rPr>
      </w:pPr>
      <w:r w:rsidRPr="00A51941">
        <w:rPr>
          <w:rFonts w:ascii="Times New Roman" w:hAnsi="Times New Roman" w:cs="Times New Roman"/>
          <w:sz w:val="24"/>
          <w:szCs w:val="24"/>
        </w:rPr>
        <w:tab/>
        <w:t>The PAT model includes a parent group connection element and supervision of providers may be provided in a group setting. For these reasons, randomization occurred at the agency level to reduce the potential for contamination. Of 36 sites approached, 6 agreed to participate. Most sites (</w:t>
      </w:r>
      <w:r w:rsidRPr="00A51941">
        <w:rPr>
          <w:rFonts w:ascii="Times New Roman" w:hAnsi="Times New Roman" w:cs="Times New Roman"/>
          <w:i/>
          <w:iCs/>
          <w:sz w:val="24"/>
          <w:szCs w:val="24"/>
        </w:rPr>
        <w:t xml:space="preserve">n = </w:t>
      </w:r>
      <w:r w:rsidRPr="00A51941">
        <w:rPr>
          <w:rFonts w:ascii="Times New Roman" w:hAnsi="Times New Roman" w:cs="Times New Roman"/>
          <w:sz w:val="24"/>
          <w:szCs w:val="24"/>
        </w:rPr>
        <w:t>26) never responded to recruitment communications, but among the 4 sites that directly declined participation the reasons provided included funding cuts or recent staff turnover. The 6 sites were randomized to PAT-AU (</w:t>
      </w:r>
      <w:r w:rsidRPr="00A51941">
        <w:rPr>
          <w:rFonts w:ascii="Times New Roman" w:hAnsi="Times New Roman" w:cs="Times New Roman"/>
          <w:i/>
          <w:iCs/>
          <w:sz w:val="24"/>
          <w:szCs w:val="24"/>
        </w:rPr>
        <w:t xml:space="preserve">N </w:t>
      </w:r>
      <w:r w:rsidRPr="00A51941">
        <w:rPr>
          <w:rFonts w:ascii="Times New Roman" w:hAnsi="Times New Roman" w:cs="Times New Roman"/>
          <w:sz w:val="24"/>
          <w:szCs w:val="24"/>
        </w:rPr>
        <w:t>= 3) or PAT+SPSHK (</w:t>
      </w:r>
      <w:r w:rsidRPr="00A51941">
        <w:rPr>
          <w:rFonts w:ascii="Times New Roman" w:hAnsi="Times New Roman" w:cs="Times New Roman"/>
          <w:i/>
          <w:iCs/>
          <w:sz w:val="24"/>
          <w:szCs w:val="24"/>
        </w:rPr>
        <w:t>N</w:t>
      </w:r>
      <w:r w:rsidRPr="00A51941">
        <w:rPr>
          <w:rFonts w:ascii="Times New Roman" w:hAnsi="Times New Roman" w:cs="Times New Roman"/>
          <w:sz w:val="24"/>
          <w:szCs w:val="24"/>
        </w:rPr>
        <w:t xml:space="preserve"> = 3).</w:t>
      </w:r>
    </w:p>
    <w:p w14:paraId="43B391B2" w14:textId="77777777" w:rsidR="007D3D49" w:rsidRPr="00A51941" w:rsidRDefault="007D3D49" w:rsidP="007D3D49">
      <w:pPr>
        <w:spacing w:after="0" w:line="480" w:lineRule="auto"/>
        <w:rPr>
          <w:rFonts w:ascii="Times New Roman" w:hAnsi="Times New Roman" w:cs="Times New Roman"/>
          <w:sz w:val="24"/>
          <w:szCs w:val="24"/>
        </w:rPr>
      </w:pPr>
      <w:r w:rsidRPr="00A51941">
        <w:rPr>
          <w:rFonts w:ascii="Times New Roman" w:hAnsi="Times New Roman" w:cs="Times New Roman"/>
          <w:sz w:val="24"/>
          <w:szCs w:val="24"/>
        </w:rPr>
        <w:tab/>
      </w:r>
      <w:r w:rsidRPr="00A51941">
        <w:rPr>
          <w:rFonts w:ascii="Times New Roman" w:hAnsi="Times New Roman" w:cs="Times New Roman"/>
          <w:b/>
          <w:bCs/>
          <w:sz w:val="24"/>
          <w:szCs w:val="24"/>
        </w:rPr>
        <w:t>Provider training</w:t>
      </w:r>
      <w:r w:rsidRPr="00A51941">
        <w:rPr>
          <w:rFonts w:ascii="Times New Roman" w:hAnsi="Times New Roman" w:cs="Times New Roman"/>
          <w:sz w:val="24"/>
          <w:szCs w:val="24"/>
        </w:rPr>
        <w:t xml:space="preserve">. Providers in the PAT+SPSHK group were sent a link for a 20-minute webinar which reviewed the pedagogical approach, structure of the materials, and goals of </w:t>
      </w:r>
      <w:r w:rsidRPr="00A51941">
        <w:rPr>
          <w:rFonts w:ascii="Times New Roman" w:hAnsi="Times New Roman" w:cs="Times New Roman"/>
          <w:sz w:val="24"/>
          <w:szCs w:val="24"/>
        </w:rPr>
        <w:lastRenderedPageBreak/>
        <w:t>SPSHK. One week after the webinar was distributed, providers attended a four-hour in-person workshop at their agency led by members of the research team. In the workshop the curriculum was first explained and modeled by the research team trainers, then providers practiced delivering the module to each other with corrective feedback provided from the trainers.</w:t>
      </w:r>
    </w:p>
    <w:p w14:paraId="5AE940FD" w14:textId="77777777" w:rsidR="007D3D49" w:rsidRPr="00A51941" w:rsidRDefault="007D3D49" w:rsidP="007D3D49">
      <w:pPr>
        <w:spacing w:after="0" w:line="480" w:lineRule="auto"/>
        <w:rPr>
          <w:rFonts w:ascii="Times New Roman" w:hAnsi="Times New Roman" w:cs="Times New Roman"/>
          <w:sz w:val="24"/>
          <w:szCs w:val="24"/>
        </w:rPr>
      </w:pPr>
      <w:r w:rsidRPr="00A51941">
        <w:rPr>
          <w:rFonts w:ascii="Times New Roman" w:hAnsi="Times New Roman" w:cs="Times New Roman"/>
          <w:sz w:val="24"/>
          <w:szCs w:val="24"/>
        </w:rPr>
        <w:tab/>
      </w:r>
      <w:r w:rsidRPr="00A51941">
        <w:rPr>
          <w:rFonts w:ascii="Times New Roman" w:hAnsi="Times New Roman" w:cs="Times New Roman"/>
          <w:b/>
          <w:bCs/>
          <w:sz w:val="24"/>
          <w:szCs w:val="24"/>
        </w:rPr>
        <w:t>Experimental procedure</w:t>
      </w:r>
      <w:r w:rsidRPr="00A51941">
        <w:rPr>
          <w:rFonts w:ascii="Times New Roman" w:hAnsi="Times New Roman" w:cs="Times New Roman"/>
          <w:sz w:val="24"/>
          <w:szCs w:val="24"/>
        </w:rPr>
        <w:t xml:space="preserve">. Parents were invited to participate in the study and consented by their provider during a scheduled PAT visit. In consultation with the PAT National Center, parents were eligible to receive SPHSK after receiving at least five foundational visits during which parents learn the core parenting behaviors corresponding to the content of the CSA module. Providers were able to recruit any parent on their caseload, meaning the duration of PAT program involvement prior to study enrollment varied by participant. Note visit is used to describe contact, but not indicative of what content a parent received. Participation was voluntary and had no impact on the parents’ eligibility to receive PAT services. Figure 1 depicts the schedule of assessment timepoints (Baseline [T1], Post-PAT [T2], Post-SPSHK [T3], and one-month follow-up [T4]), the activities completed at each assessment point (i.e., visit) by group, and measures asked at each assessment. </w:t>
      </w:r>
      <w:r>
        <w:rPr>
          <w:rFonts w:ascii="Times New Roman" w:hAnsi="Times New Roman" w:cs="Times New Roman"/>
          <w:sz w:val="24"/>
          <w:szCs w:val="24"/>
        </w:rPr>
        <w:t xml:space="preserve">Consent encompassed both the assessments and the added module. </w:t>
      </w:r>
      <w:r w:rsidRPr="00A51941">
        <w:rPr>
          <w:rFonts w:ascii="Times New Roman" w:hAnsi="Times New Roman" w:cs="Times New Roman"/>
          <w:sz w:val="24"/>
          <w:szCs w:val="24"/>
        </w:rPr>
        <w:t xml:space="preserve">Following consent, at baseline parents in PAT+SPSHK and PAT-AU groups completed the T1 assessment and received a PAT visit. PAT was then implemented as planned for Visits 2–4. By the Post-PAT assessment, </w:t>
      </w:r>
      <w:proofErr w:type="gramStart"/>
      <w:r w:rsidRPr="00A51941">
        <w:rPr>
          <w:rFonts w:ascii="Times New Roman" w:hAnsi="Times New Roman" w:cs="Times New Roman"/>
          <w:sz w:val="24"/>
          <w:szCs w:val="24"/>
        </w:rPr>
        <w:t>Visit</w:t>
      </w:r>
      <w:proofErr w:type="gramEnd"/>
      <w:r w:rsidRPr="00A51941">
        <w:rPr>
          <w:rFonts w:ascii="Times New Roman" w:hAnsi="Times New Roman" w:cs="Times New Roman"/>
          <w:sz w:val="24"/>
          <w:szCs w:val="24"/>
        </w:rPr>
        <w:t xml:space="preserve"> 5, parents received the core parenting skills upon which the concepts in the SPSHK</w:t>
      </w:r>
      <w:r w:rsidRPr="00A51941">
        <w:rPr>
          <w:rFonts w:ascii="Times New Roman" w:hAnsi="Times New Roman" w:cs="Times New Roman"/>
          <w:i/>
          <w:iCs/>
          <w:sz w:val="24"/>
          <w:szCs w:val="24"/>
        </w:rPr>
        <w:t xml:space="preserve"> </w:t>
      </w:r>
      <w:r w:rsidRPr="00A51941">
        <w:rPr>
          <w:rFonts w:ascii="Times New Roman" w:hAnsi="Times New Roman" w:cs="Times New Roman"/>
          <w:sz w:val="24"/>
          <w:szCs w:val="24"/>
        </w:rPr>
        <w:t xml:space="preserve">curriculum relies. In the Post-PAT assessment, parents in both groups completed the PAT visit as planned and the T2 assessment. At subsequent visit, </w:t>
      </w:r>
      <w:proofErr w:type="gramStart"/>
      <w:r w:rsidRPr="00A51941">
        <w:rPr>
          <w:rFonts w:ascii="Times New Roman" w:hAnsi="Times New Roman" w:cs="Times New Roman"/>
          <w:sz w:val="24"/>
          <w:szCs w:val="24"/>
        </w:rPr>
        <w:t>Visit</w:t>
      </w:r>
      <w:proofErr w:type="gramEnd"/>
      <w:r w:rsidRPr="00A51941">
        <w:rPr>
          <w:rFonts w:ascii="Times New Roman" w:hAnsi="Times New Roman" w:cs="Times New Roman"/>
          <w:sz w:val="24"/>
          <w:szCs w:val="24"/>
        </w:rPr>
        <w:t xml:space="preserve"> 6, parents in the PAT+SPSHK group received the SPSHK module and completed the T3 assessment. At Visit 6, parents in the PAT-AU group received the PAT visit as planned and completed the T3 assessment. Implementation of PAT visits as planned continued for both </w:t>
      </w:r>
      <w:r w:rsidRPr="00A51941">
        <w:rPr>
          <w:rFonts w:ascii="Times New Roman" w:hAnsi="Times New Roman" w:cs="Times New Roman"/>
          <w:sz w:val="24"/>
          <w:szCs w:val="24"/>
        </w:rPr>
        <w:lastRenderedPageBreak/>
        <w:t xml:space="preserve">groups. One-month post Visit 6, parents in PAT+SPSHK and PAT-AU groups completed the T4 assessment during their scheduled visit. The T1 survey took participants ≥25 minutes to complete and all other assessments &lt;10 minutes to complete. All assessments were conducted via paper survey which were later double entered by research assistants into </w:t>
      </w:r>
      <w:proofErr w:type="spellStart"/>
      <w:r w:rsidRPr="00A51941">
        <w:rPr>
          <w:rFonts w:ascii="Times New Roman" w:hAnsi="Times New Roman" w:cs="Times New Roman"/>
          <w:sz w:val="24"/>
          <w:szCs w:val="24"/>
        </w:rPr>
        <w:t>REDCap</w:t>
      </w:r>
      <w:proofErr w:type="spellEnd"/>
      <w:r w:rsidRPr="00A51941">
        <w:rPr>
          <w:rFonts w:ascii="Times New Roman" w:hAnsi="Times New Roman" w:cs="Times New Roman"/>
          <w:sz w:val="24"/>
          <w:szCs w:val="24"/>
          <w:vertAlign w:val="superscript"/>
        </w:rPr>
        <w:t xml:space="preserve">® </w:t>
      </w:r>
      <w:r w:rsidRPr="00A51941">
        <w:rPr>
          <w:rFonts w:ascii="Times New Roman" w:hAnsi="Times New Roman" w:cs="Times New Roman"/>
          <w:sz w:val="24"/>
          <w:szCs w:val="24"/>
          <w:vertAlign w:val="superscript"/>
        </w:rPr>
        <w:fldChar w:fldCharType="begin" w:fldLock="1"/>
      </w:r>
      <w:r w:rsidRPr="00A51941">
        <w:rPr>
          <w:rFonts w:ascii="Times New Roman" w:hAnsi="Times New Roman" w:cs="Times New Roman"/>
          <w:sz w:val="24"/>
          <w:szCs w:val="24"/>
          <w:vertAlign w:val="superscript"/>
        </w:rPr>
        <w:instrText>ADDIN CSL_CITATION {"citationItems":[{"id":"ITEM-1","itemData":{"author":[{"dropping-particle":"","family":"Harris","given":"Paul A.","non-dropping-particle":"","parse-names":false,"suffix":""},{"dropping-particle":"","family":"Taylor","given":"Robert","non-dropping-particle":"","parse-names":false,"suffix":""},{"dropping-particle":"","family":"Thielke","given":"Robert","non-dropping-particle":"","parse-names":false,"suffix":""},{"dropping-particle":"","family":"Payne","given":"Jonathon","non-dropping-particle":"","parse-names":false,"suffix":""},{"dropping-particle":"","family":"Gonzalez","given":"Nathaniel","non-dropping-particle":"","parse-names":false,"suffix":""},{"dropping-particle":"","family":"Conde","given":"Jose G.","non-dropping-particle":"","parse-names":false,"suffix":""}],"container-title":"Journal of Biomedical Informatics","id":"ITEM-1","issue":"2","issued":{"date-parts":[["2009"]]},"page":"377-381","title":"Research electronic data capture (REDCap) - A metadata-driven methodology and workflow process for providing translational research informatics support","type":"article-journal","volume":"42"},"uris":["http://www.mendeley.com/documents/?uuid=92abafcd-5f3c-460c-b69a-57b70096f5f5"]}],"mendeley":{"formattedCitation":"(Harris et al., 2009)","plainTextFormattedCitation":"(Harris et al., 2009)","previouslyFormattedCitation":"(Harris et al., 2009)"},"properties":{"noteIndex":0},"schema":"https://github.com/citation-style-language/schema/raw/master/csl-citation.json"}</w:instrText>
      </w:r>
      <w:r w:rsidRPr="00A51941">
        <w:rPr>
          <w:rFonts w:ascii="Times New Roman" w:hAnsi="Times New Roman" w:cs="Times New Roman"/>
          <w:sz w:val="24"/>
          <w:szCs w:val="24"/>
          <w:vertAlign w:val="superscript"/>
        </w:rPr>
        <w:fldChar w:fldCharType="separate"/>
      </w:r>
      <w:r w:rsidRPr="00A51941">
        <w:rPr>
          <w:rFonts w:ascii="Times New Roman" w:hAnsi="Times New Roman" w:cs="Times New Roman"/>
          <w:noProof/>
          <w:sz w:val="24"/>
          <w:szCs w:val="24"/>
        </w:rPr>
        <w:t>(Harris et al., 2009)</w:t>
      </w:r>
      <w:r w:rsidRPr="00A51941">
        <w:rPr>
          <w:rFonts w:ascii="Times New Roman" w:hAnsi="Times New Roman" w:cs="Times New Roman"/>
          <w:sz w:val="24"/>
          <w:szCs w:val="24"/>
          <w:vertAlign w:val="superscript"/>
        </w:rPr>
        <w:fldChar w:fldCharType="end"/>
      </w:r>
      <w:r w:rsidRPr="00A51941">
        <w:rPr>
          <w:rFonts w:ascii="Times New Roman" w:hAnsi="Times New Roman" w:cs="Times New Roman"/>
          <w:sz w:val="24"/>
          <w:szCs w:val="24"/>
        </w:rPr>
        <w:t>. Parents received a small monetary incentive for each survey completed and the university institutional review board approved all procedures.</w:t>
      </w:r>
    </w:p>
    <w:p w14:paraId="416F1642" w14:textId="77777777" w:rsidR="007D3D49" w:rsidRPr="00A51941" w:rsidRDefault="007D3D49" w:rsidP="007D3D49">
      <w:pPr>
        <w:spacing w:after="0" w:line="480" w:lineRule="auto"/>
        <w:rPr>
          <w:rFonts w:ascii="Times New Roman" w:hAnsi="Times New Roman" w:cs="Times New Roman"/>
          <w:sz w:val="24"/>
          <w:szCs w:val="24"/>
        </w:rPr>
      </w:pPr>
      <w:r w:rsidRPr="00A51941">
        <w:rPr>
          <w:rFonts w:ascii="Times New Roman" w:hAnsi="Times New Roman" w:cs="Times New Roman"/>
          <w:b/>
          <w:sz w:val="24"/>
          <w:szCs w:val="24"/>
        </w:rPr>
        <w:t>Measures</w:t>
      </w:r>
    </w:p>
    <w:p w14:paraId="5DB5AE7A" w14:textId="77777777" w:rsidR="007D3D49" w:rsidRPr="00A51941" w:rsidRDefault="007D3D49" w:rsidP="007D3D49">
      <w:pPr>
        <w:spacing w:after="0" w:line="480" w:lineRule="auto"/>
        <w:rPr>
          <w:rFonts w:ascii="Times New Roman" w:hAnsi="Times New Roman" w:cs="Times New Roman"/>
          <w:sz w:val="24"/>
          <w:szCs w:val="24"/>
        </w:rPr>
      </w:pPr>
      <w:r w:rsidRPr="00A51941">
        <w:rPr>
          <w:rFonts w:ascii="Times New Roman" w:hAnsi="Times New Roman" w:cs="Times New Roman"/>
          <w:sz w:val="24"/>
          <w:szCs w:val="24"/>
        </w:rPr>
        <w:tab/>
      </w:r>
      <w:r w:rsidRPr="00A51941">
        <w:rPr>
          <w:rFonts w:ascii="Times New Roman" w:hAnsi="Times New Roman" w:cs="Times New Roman"/>
          <w:b/>
          <w:sz w:val="24"/>
          <w:szCs w:val="24"/>
        </w:rPr>
        <w:t xml:space="preserve">Participant characteristics. </w:t>
      </w:r>
      <w:r w:rsidRPr="00A51941">
        <w:rPr>
          <w:rFonts w:ascii="Times New Roman" w:hAnsi="Times New Roman" w:cs="Times New Roman"/>
          <w:sz w:val="24"/>
          <w:szCs w:val="24"/>
        </w:rPr>
        <w:t xml:space="preserve">At baseline (Figure 1), participants provided demographic information including: gender, race, marital status, level of educational attainment, income, receipt of aid (e.g., WIC, TANF), age, age at birth of first child, and the household constellation (e.g., number of children, number of adults in the home). Based on the premise that parent training programs reduce risk for maltreatment broadly, at baseline parents completed four questionnaires related to well-documented risk-factors for maltreatment, including CSA: alcohol use, drug use, depression, and interpersonal support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{"citationItems":[{"id":"ITEM-1","itemData":{"DOI":"10.1016/j.chiabu.2014.11.005","ISBN":"0419-4217","ISSN":"18737757","PMID":"25484318","abstract":"The relationship between risk factors and Child Protective Services (CPS) outcomes in families who participate in home visiting programs to prevent abuse and neglect and who are reported to CPS is largely unknown. We examined the relationship between parental risk factors and the substantiation status and number of CPS reports in families in a statewide prevention program. We reviewed CPS reports from 2006 to 2008 for families in Connecticut's child abuse prevention program. Six risk factors (histories of CPS, domestic violence [DV], mental health, sexual abuse, substance abuse, and criminal involvement) and the number of caregivers were abstracted to create risk scores for each family member. Maltreatment type, substantiation, and number of reports were recorded. Odds ratios were calculated. Of 1,125 families, 171 (15.6%) had at least one CPS report, and reports of 131 families were available for review. Families with a substantiated (25.2%) versus unsubstantiated (74.8%) first report had a high number of paternal risk factors (OR = 6.13, 95% CI [1.89, 20.00]) and were more likely to have a history of maternal DV (OR = 8.47, 95% CI [2.96, 24.39]), paternal DV (OR = 11.23, 95% CI [3.33, 38.46]), and maternal criminal history (OR = 4.55; 95% CI [1.32, 15.60]). Families with &gt;1 report (34.4%) versus 1 report (65.6%) were more likely to have &gt;3 caregivers, but this was not statistically significant (OR = 2.53, 95% CI [0.98, 6.54]). In a prevention program for first-time families, DV, paternal risk, maternal criminal history, and an increased number of caregivers were associated with maltreatment outcomes. Targeting parental violence may impact child abuse prevention.","author":[{"dropping-particle":"","family":"Duffy","given":"Jennifer Y.","non-dropping-particle":"","parse-names":false,"suffix":""},{"dropping-particle":"","family":"Hughes","given":"Marcia","non-dropping-particle":"","parse-names":false,"suffix":""},{"dropping-particle":"","family":"Asnes","given":"Andrea G.","non-dropping-particle":"","parse-names":false,"suffix":""},{"dropping-particle":"","family":"Leventhal","given":"John M.","non-dropping-particle":"","parse-names":false,"suffix":""}],"container-title":"Child Abuse and Neglect","id":"ITEM-1","issued":{"date-parts":[["2015"]]},"page":"184-193","publisher":"Elsevier Ltd","title":"Child maltreatment and risk patterns among participants in a child abuse prevention program","type":"article-journal","volume":"44"},"uris":["http://www.mendeley.com/documents/?uuid=3e7d887e-bc10-4434-977f-ad8495cf62e3"]},{"id":"ITEM-2","itemData":{"DOI":"10.1016/j.chiabu.2015.01.017","ISBN":"1757683445","ISSN":"18737757","PMID":"25724658","abstract":"Children with substance abusing parents are at considerable risk for child maltreatment. The current study applied an actor-partner interdependence model to examine how father only (. n=. 52) and dual couple (. n=. 33) substance use disorder, as well as their depressive symptomology influenced parents' own (actor effects) and the partner's (partner effects) overreactivity in disciplinary interactions with their children, as well as their risk for child maltreatment. Parents completed the Center for Epidemiologic Studies Depression Scale (CES-D; Radloff, 1977), the overreactivity subscale from the Parenting Scale (. Arnold, O'Leary, Wolff, &amp; Acker, 1993), and the Brief Child Abuse Potential Inventory (. Ondersma, Chaffin, Mullins, &amp; LeBreton, 2005). Results of multigroup structural equation models revealed that a parent's own report of depressive symptoms predicted their risk for child maltreatment in both father SUD and dual SUD couples. Similarly, a parent's report of their own depressive symptoms predicted their overreactivity in disciplinary encounters both in father SUD and dual SUD couples. In all models, partners' depressive symptoms did not predict their partner's risk for child maltreatment or overreactivity. Findings underscore the importance of a parent's own level of depressive symptoms in their risk for child maltreatment and for engaging in overreactivity during disciplinary episodes.","author":[{"dropping-particle":"","family":"Kelley","given":"Michelle L.","non-dropping-particle":"","parse-names":false,"suffix":""},{"dropping-particle":"","family":"Lawrence","given":"Hannah R.","non-dropping-particle":"","parse-names":false,"suffix":""},{"dropping-particle":"","family":"Milletich","given":"Robert J.","non-dropping-particle":"","parse-names":false,"suffix":""},{"dropping-particle":"","family":"Hollis","given":"Brittany F.","non-dropping-particle":"","parse-names":false,"suffix":""},{"dropping-particle":"","family":"Henson","given":"James M.","non-dropping-particle":"","parse-names":false,"suffix":""}],"container-title":"Child Abuse and Neglect","id":"ITEM-2","issued":{"date-parts":[["2015"]]},"page":"42-52","publisher":"Elsevier Ltd","title":"Modeling risk for child abuse and harsh parenting in families with depressed and substance-abusing parents","type":"article-journal","volume":"43"},"uris":["http://www.mendeley.com/documents/?uuid=d803b2e3-f4a4-46a6-b430-a1cb2b79283a"]},{"id":"ITEM-3","itemData":{"DOI":"10.1016/j.childyouth.2011.04.025","ISBN":"01907409","ISSN":"01907409","abstract":"Objectives: Child maltreatment (CM) causes injury in large numbers of U.S. children. This study uses a large, multi-state dataset of child protective services reports for infants and young children under five years of age to examine risk factors and the effects of services in confirmed maltreatment investigations and recurrence over five years. Methods: The Child Files of the National Child Abuse and Neglect Data System (NCANDS) for 2003-2007 were used to study confirmed CM reports to child protective services (CPS) using regression models and survival analysis among a cohort of children first reported during 2003. Results: There were 1.2. million confirmed maltreatment reports to state child protective services agencies in 22 states during 2003-2007 in NCANDS, including 177,568 infants and young children under five years. 19.3% had a second confirmed CM report within 5. years. White race, inadequate housing and receiving public assistance were associated with significantly increased risk of CM recurrence. Infants and young children received more services and had less recurrence than did older children. Conclusions: Infants and young children have different risk factors and receive different services than do older children in the CPS system. We need additional research to further assess and better target services for the special needs of infants, young children and their families if we are to protect them and reduce future child maltreatment. ?? 2011 Elsevier Ltd.","author":[{"dropping-particle":"","family":"Palusci","given":"Vincent J.","non-dropping-particle":"","parse-names":false,"suffix":""}],"container-title":"Children and Youth Services Review","id":"ITEM-3","issue":"8","issued":{"date-parts":[["2011"]]},"page":"1374-1382","publisher":"Elsevier Ltd","title":"Risk factors and services for child maltreatment among infants and young children","type":"article-journal","volume":"33"},"uris":["http://www.mendeley.com/documents/?uuid=68bb9c14-da7b-4209-af01-6b58f960de1e"]},{"id":"ITEM-4","itemData":{"DOI":"10.1016/j.avb.2006.03.006","ISBN":"1359-1789","ISSN":"13591789","abstract":"This review presents the results of a series of meta-analyses identifying the relative strength of various risk factors for child physical abuse and neglect. Data from 155 studies examining 39 different risk factors were included in the review. Large effect sizes were found between child physical abuse and three risk factors (parent anger/hyper-reactivity, family conflict and family cohesion). Large effect sizes were also found between child neglect and five risk factors (parent-child relationship, parent perceives child as problem, parent's level of stress, parent anger/hyper-reactivity, and parent self-esteem). ?? 2008 Elsevier Ltd. All rights reserved.","author":[{"dropping-particle":"","family":"Stith","given":"Sandra M.","non-dropping-particle":"","parse-names":false,"suffix":""},{"dropping-particle":"","family":"Liu","given":"Ting","non-dropping-particle":"","parse-names":false,"suffix":""},{"dropping-particle":"","family":"Davies","given":"L. Christopher","non-dropping-particle":"","parse-names":false,"suffix":""},{"dropping-particle":"","family":"Boykin","given":"Esther L.","non-dropping-particle":"","parse-names":false,"suffix":""},{"dropping-particle":"","family":"Alder","given":"Meagan C.","non-dropping-particle":"","parse-names":false,"suffix":""},{"dropping-particle":"","family":"Harris","given":"Jennifer M.","non-dropping-particle":"","parse-names":false,"suffix":""},{"dropping-particle":"","family":"Som","given":"Anurag","non-dropping-particle":"","parse-names":false,"suffix":""},{"dropping-particle":"","family":"McPherson","given":"Mary","non-dropping-particle":"","parse-names":false,"suffix":""},{"dropping-particle":"","family":"Dees","given":"J. E M E G","non-dropping-particle":"","parse-names":false,"suffix":""}],"container-title":"Aggression and Violent Behavior","id":"ITEM-4","issue":"1","issued":{"date-parts":[["2009"]]},"page":"13-29","publisher":"Elsevier Ltd","title":"Risk factors in child maltreatment: A meta-analytic review of the literature","type":"article-journal","volume":"14"},"uris":["http://www.mendeley.com/documents/?uuid=7d074e53-5ee1-4ed7-87a5-cc75d6de0a36"]}],"mendeley":{"formattedCitation":"(Duffy, Hughes, Asnes, &amp; Leventhal, 2015; Kelley, Lawrence, Milletich, Hollis, &amp; Henson, 2015; Palusci, 2011; Stith et al., 2009)","manualFormatting":"(Duffy et al., 2015; Kelley et al., 2015; Palusci, 2011; Stith et al., 2009)","plainTextFormattedCitation":"(Duffy, Hughes, Asnes, &amp; Leventhal, 2015; Kelley, Lawrence, Milletich, Hollis, &amp; Henson, 2015; Palusci, 2011; Stith et al., 2009)","previouslyFormattedCitation":"(Duffy, Hughes, Asnes, &amp; Leventhal, 2015; Kelley, Lawrence, Milletich, Hollis, &amp; Henson, 2015; Palusci, 2011; Stith et al., 2009)"},"properties":{"noteIndex":0},"schema":"https://github.com/citation-style-language/schema/raw/master/csl-citation.json"}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(Duffy et al., 2015; Kelley et al., 2015; Palusci, 2011; Stith et al., 2009)</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Participants completed the Alcohol Use Disorders Identification Test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author":[{"dropping-particle":"","family":"Saunders","given":"J.B.","non-dropping-particle":"","parse-names":false,"suffix":""},{"dropping-particle":"","family":"Aasland","given":"O.G.","non-dropping-particle":"","parse-names":false,"suffix":""},{"dropping-particle":"","family":"Babor","given":"T.F.","non-dropping-particle":"","parse-names":false,"suffix":""},{"dropping-particle":"","family":"la Fuente","given":"J.R.","non-dropping-particle":"de","parse-names":false,"suffix":""},{"dropping-particle":"","family":"Grant","given":"M.","non-dropping-particle":"","parse-names":false,"suffix":""}],"container-title":"Addiction","id":"ITEM-1","issued":{"date-parts":[["1993"]]},"page":"791-804","title":"Development of the Alcohol Use Disorders Screening Test (AUDIT). WHO collaborative project on early detection of persons with harmful alcohol consumption. II.","type":"article-journal","volume":"88"},"uris":["http://www.mendeley.com/documents/?uuid=3a12063a-b3c4-40e1-9648-7d3d7262e373"]}],"mendeley":{"formattedCitation":"(Saunders, Aasland, Babor, de la Fuente, &amp; Grant, 1993)","manualFormatting":"(AUDIT; Saunders et al., 1993)","plainTextFormattedCitation":"(Saunders, Aasland, Babor, de la Fuente, &amp; Grant, 1993)","previouslyFormattedCitation":"(Saunders, Aasland, Babor, de la Fuente, &amp; Grant, 1993)"},"properties":{"noteIndex":0},"schema":"https://github.com/citation-style-language/schema/raw/master/csl-citation.json"}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(AUDIT; Saunders et al., 1993)</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The 10 AUDIT items are summed to create an overall measure of hazardous drinking; a score ≥8 indicates an alcohol use problem. To ascertain drug use (i.e., illicit drugs), participants completed the 10-item self-report Drug Abuse Screening Test (DAST-10;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{"citationItems":[{"id":"ITEM-1","itemData":{"author":[{"dropping-particle":"","family":"Skinner","given":"H. A.","non-dropping-particle":"","parse-names":false,"suffix":""}],"container-title":"Addiction","id":"ITEM-1","issue":"4","issued":{"date-parts":[["1982"]]},"page":"363-371","title":"The Drug Abuse Screening Test","type":"article-journal","volume":"7"},"uris":["http://www.mendeley.com/documents/?uuid=b40c870e-7cd5-4c60-af47-f8a844a5e170"]}],"mendeley":{"formattedCitation":"(Skinner, 1982)","manualFormatting":"Skinner, 1982)","plainTextFormattedCitation":"(Skinner, 1982)","previouslyFormattedCitation":"(Skinner, 1982)"},"properties":{"noteIndex":0},"schema":"https://github.com/citation-style-language/schema/raw/master/csl-citation.json"}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Skinner, 1982)</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Each endorsed item receives one point such that a DAST score of 0 indicates no drug problem; 1-2 low level; 3-5 moderate level; and ≥6 substantial or severe. The Center for Epidemiologic Studies Depression Scale (CESD) is a 20-item self-report assessment of depressive symptoms experienced in the prior week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{"citationItems":[{"id":"ITEM-1","itemData":{"author":[{"dropping-particle":"","family":"Radloff","given":"L.S.","non-dropping-particle":"","parse-names":false,"suffix":""}],"container-title":"Applied Psychological Measurements","id":"ITEM-1","issued":{"date-parts":[["1977"]]},"page":"385-401","title":"The CES-D scale: A self report depression scale for research in the general population","type":"article-journal","volume":"1"},"uris":["http://www.mendeley.com/documents/?uuid=54a55cb6-6e6b-4c4c-a169-c46174da8d22"]}],"mendeley":{"formattedCitation":"(Radloff, 1977)","plainTextFormattedCitation":"(Radloff, 1977)","previouslyFormattedCitation":"(Radloff, 1977)"},"properties":{"noteIndex":0},"schema":"https://github.com/citation-style-language/schema/raw/master/csl-citation.json"}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(Radloff, 1977)</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a score ≥16 indicates a clinical level of depressive symptoms. To ascertain perceived interpersonal support, participants </w:t>
      </w:r>
      <w:r w:rsidRPr="00A51941">
        <w:rPr>
          <w:rFonts w:ascii="Times New Roman" w:hAnsi="Times New Roman" w:cs="Times New Roman"/>
          <w:sz w:val="24"/>
          <w:szCs w:val="24"/>
        </w:rPr>
        <w:lastRenderedPageBreak/>
        <w:t xml:space="preserve">completed the 12-item Interpersonal Support Evaluation List (ISEL;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{"citationItems":[{"id":"ITEM-1","itemData":{"author":[{"dropping-particle":"","family":"Cohen","given":"S.","non-dropping-particle":"","parse-names":false,"suffix":""},{"dropping-particle":"","family":"Mermelstein","given":"Robin J.","non-dropping-particle":"","parse-names":false,"suffix":""},{"dropping-particle":"","family":"Kamarck","given":"T.","non-dropping-particle":"","parse-names":false,"suffix":""},{"dropping-particle":"","family":"Hoberman","given":"H. M.","non-dropping-particle":"","parse-names":false,"suffix":""}],"container-title":"Social support: theory, research, and applications","editor":[{"dropping-particle":"","family":"Sarason","given":"I. G.","non-dropping-particle":"","parse-names":false,"suffix":""},{"dropping-particle":"","family":"Sarason","given":"B. R.","non-dropping-particle":"","parse-names":false,"suffix":""}],"id":"ITEM-1","issued":{"date-parts":[["1985"]]},"page":"73-94","publisher":"Martinus Nijhoff","publisher-place":"The Hague, Holland","title":"Measuring the functional components of social support","type":"chapter"},"uris":["http://www.mendeley.com/documents/?uuid=71e918ba-f968-4b94-a4af-1788b52201ad"]}],"mendeley":{"formattedCitation":"(Cohen, Mermelstein, Kamarck, &amp; Hoberman, 1985)","manualFormatting":"Cohen et al., 1985)","plainTextFormattedCitation":"(Cohen, Mermelstein, Kamarck, &amp; Hoberman, 1985)","previouslyFormattedCitation":"(Cohen, Mermelstein, Kamarck, &amp; Hoberman, 1985)"},"properties":{"noteIndex":0},"schema":"https://github.com/citation-style-language/schema/raw/master/csl-citation.json"}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Cohen et al., 1985)</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A higher score (range 0 – 36) reflects highly perceived availability of support. These characteristics were used to describe the sample in terms of risk and were treated as covariates in analytic models when group differences were observed.</w:t>
      </w:r>
    </w:p>
    <w:p w14:paraId="1DF3699F" w14:textId="77777777" w:rsidR="007D3D49" w:rsidRPr="00A51941" w:rsidRDefault="007D3D49" w:rsidP="007D3D49">
      <w:pPr>
        <w:spacing w:after="0" w:line="480" w:lineRule="auto"/>
        <w:rPr>
          <w:rFonts w:ascii="Times New Roman" w:hAnsi="Times New Roman" w:cs="Times New Roman"/>
          <w:sz w:val="24"/>
          <w:szCs w:val="24"/>
        </w:rPr>
      </w:pPr>
      <w:r w:rsidRPr="00A51941">
        <w:rPr>
          <w:rFonts w:ascii="Times New Roman" w:hAnsi="Times New Roman" w:cs="Times New Roman"/>
          <w:sz w:val="24"/>
          <w:szCs w:val="24"/>
        </w:rPr>
        <w:tab/>
      </w:r>
      <w:r w:rsidRPr="00A51941">
        <w:rPr>
          <w:rFonts w:ascii="Times New Roman" w:hAnsi="Times New Roman" w:cs="Times New Roman"/>
          <w:b/>
          <w:bCs/>
          <w:sz w:val="24"/>
          <w:szCs w:val="24"/>
        </w:rPr>
        <w:t>Outcomes</w:t>
      </w:r>
      <w:r w:rsidRPr="00A51941">
        <w:rPr>
          <w:rFonts w:ascii="Times New Roman" w:hAnsi="Times New Roman" w:cs="Times New Roman"/>
          <w:sz w:val="24"/>
          <w:szCs w:val="24"/>
        </w:rPr>
        <w:t xml:space="preserve">. The primary outcome of interest was change in parents’ self-reported knowledge of CSA and positive attitudes toward CSA prevention, operationally defined henceforth as ‘awareness’, and the use of protective behaviors to limit risk for CSA. The Assessment of </w:t>
      </w:r>
      <w:proofErr w:type="spellStart"/>
      <w:r w:rsidRPr="00A51941">
        <w:rPr>
          <w:rFonts w:ascii="Times New Roman" w:hAnsi="Times New Roman" w:cs="Times New Roman"/>
          <w:sz w:val="24"/>
          <w:szCs w:val="24"/>
        </w:rPr>
        <w:t>SmartParent’s</w:t>
      </w:r>
      <w:proofErr w:type="spellEnd"/>
      <w:r w:rsidRPr="00A51941">
        <w:rPr>
          <w:rFonts w:ascii="Times New Roman" w:hAnsi="Times New Roman" w:cs="Times New Roman"/>
          <w:sz w:val="24"/>
          <w:szCs w:val="24"/>
        </w:rPr>
        <w:t xml:space="preserve"> Knowledge (ASK) questionnaire, developed and evaluated psychometrically in concert with the SPSHK curriculum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DOI":"10.1007/s10826-019-01410-y","ISSN":"10621024","author":[{"dropping-particle":"","family":"Guastaferro","given":"Kate","non-dropping-particle":"","parse-names":false,"suffix":""},{"dropping-particle":"","family":"Zadzora","given":"Kathleen M.","non-dropping-particle":"","parse-names":false,"suffix":""},{"dropping-particle":"","family":"Reader","given":"Jonathan M.","non-dropping-particle":"","parse-names":false,"suffix":""},{"dropping-particle":"","family":"Shanley","given":"Jenelle","non-dropping-particle":"","parse-names":false,"suffix":""},{"dropping-particle":"","family":"Noll","given":"Jennie G.","non-dropping-particle":"","parse-names":false,"suffix":""}],"container-title":"Journal of Child and Family Studies","id":"ITEM-1","issue":"7","issued":{"date-parts":[["2019"]]},"page":"1862-1877","publisher":"Springer US","title":"A Parent-focused child sexual abuse prevention program: Development, acceptability, and feasibility","type":"article-journal","volume":"28"},"uris":["http://www.mendeley.com/documents/?uuid=d7c80bb8-fe45-42db-8986-bced7363a802"]}],"mendeley":{"formattedCitation":"(Guastaferro et al., 2019)","plainTextFormattedCitation":"(Guastaferro et al., 2019)","previouslyFormattedCitation":"(Guastaferro et al., 2019)"},"properties":{"noteIndex":0},"schema":"https://github.com/citation-style-language/schema/raw/master/csl-citation.json"}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(Guastaferro et al., 2019)</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is a reliable and valid measure comprised of two factors: awareness and behaviors. The </w:t>
      </w:r>
      <w:r w:rsidRPr="00A51941">
        <w:rPr>
          <w:rFonts w:ascii="Times New Roman" w:hAnsi="Times New Roman" w:cs="Times New Roman"/>
          <w:i/>
          <w:iCs/>
          <w:sz w:val="24"/>
          <w:szCs w:val="24"/>
        </w:rPr>
        <w:t>awareness</w:t>
      </w:r>
      <w:r w:rsidRPr="00A51941">
        <w:rPr>
          <w:rFonts w:ascii="Times New Roman" w:hAnsi="Times New Roman" w:cs="Times New Roman"/>
          <w:sz w:val="24"/>
          <w:szCs w:val="24"/>
        </w:rPr>
        <w:t xml:space="preserve"> factor (9-items; α</w:t>
      </w:r>
      <w:r w:rsidRPr="00A51941">
        <w:rPr>
          <w:rFonts w:ascii="Times New Roman" w:hAnsi="Times New Roman" w:cs="Times New Roman"/>
          <w:sz w:val="24"/>
          <w:szCs w:val="24"/>
          <w:vertAlign w:val="subscript"/>
        </w:rPr>
        <w:t>t1</w:t>
      </w:r>
      <w:r w:rsidRPr="00A51941">
        <w:rPr>
          <w:rFonts w:ascii="Times New Roman" w:hAnsi="Times New Roman" w:cs="Times New Roman"/>
          <w:sz w:val="24"/>
          <w:szCs w:val="24"/>
        </w:rPr>
        <w:t xml:space="preserve"> = .53) assesses parents’ knowledge of general facts about CSA (e.g., “Most sexual abuse victims are abused by someone they know”) and the perception of their role in prevention (e.g., “As a parent, I am the best person to teach my child about preventing sexual abuse”). The </w:t>
      </w:r>
      <w:r w:rsidRPr="00A51941">
        <w:rPr>
          <w:rFonts w:ascii="Times New Roman" w:hAnsi="Times New Roman" w:cs="Times New Roman"/>
          <w:i/>
          <w:iCs/>
          <w:sz w:val="24"/>
          <w:szCs w:val="24"/>
        </w:rPr>
        <w:t>behavior</w:t>
      </w:r>
      <w:r w:rsidRPr="00A51941">
        <w:rPr>
          <w:rFonts w:ascii="Times New Roman" w:hAnsi="Times New Roman" w:cs="Times New Roman"/>
          <w:sz w:val="24"/>
          <w:szCs w:val="24"/>
        </w:rPr>
        <w:t xml:space="preserve"> factor (6-items; α</w:t>
      </w:r>
      <w:r w:rsidRPr="00A51941">
        <w:rPr>
          <w:rFonts w:ascii="Times New Roman" w:hAnsi="Times New Roman" w:cs="Times New Roman"/>
          <w:sz w:val="24"/>
          <w:szCs w:val="24"/>
          <w:vertAlign w:val="subscript"/>
        </w:rPr>
        <w:t>t1</w:t>
      </w:r>
      <w:r w:rsidRPr="00A51941">
        <w:rPr>
          <w:rFonts w:ascii="Times New Roman" w:hAnsi="Times New Roman" w:cs="Times New Roman"/>
          <w:sz w:val="24"/>
          <w:szCs w:val="24"/>
        </w:rPr>
        <w:t xml:space="preserve"> = .77) assesses parents’ behaviors regarding CSA prevention including skills to identify signs of CSA (e.g., “I know what signs to look for that suggest my child may have been sexually abused”) and talking to their child (e.g., “I have talked to my child about how to protect him/herself from being sexually abused”). The 15-items are scored on a 5-point Likert scale (strongly disagree to strongly agree) such that higher scores indicate greater levels of awareness and use of protective behaviors. Alphas on the ASK subscales for the present sample are slightly lower than in the original psychometric sample (α</w:t>
      </w:r>
      <w:r w:rsidRPr="00A51941">
        <w:rPr>
          <w:rFonts w:ascii="Times New Roman" w:hAnsi="Times New Roman" w:cs="Times New Roman"/>
          <w:sz w:val="24"/>
          <w:szCs w:val="24"/>
          <w:vertAlign w:val="subscript"/>
        </w:rPr>
        <w:t>Awareness</w:t>
      </w:r>
      <w:r w:rsidRPr="00A51941">
        <w:rPr>
          <w:rFonts w:ascii="Times New Roman" w:hAnsi="Times New Roman" w:cs="Times New Roman"/>
          <w:sz w:val="24"/>
          <w:szCs w:val="24"/>
        </w:rPr>
        <w:t xml:space="preserve"> = 0.68; α</w:t>
      </w:r>
      <w:r w:rsidRPr="00A51941">
        <w:rPr>
          <w:rFonts w:ascii="Times New Roman" w:hAnsi="Times New Roman" w:cs="Times New Roman"/>
          <w:sz w:val="24"/>
          <w:szCs w:val="24"/>
          <w:vertAlign w:val="subscript"/>
        </w:rPr>
        <w:t>Behaviors</w:t>
      </w:r>
      <w:r w:rsidRPr="00A51941">
        <w:rPr>
          <w:rFonts w:ascii="Times New Roman" w:hAnsi="Times New Roman" w:cs="Times New Roman"/>
          <w:sz w:val="24"/>
          <w:szCs w:val="24"/>
        </w:rPr>
        <w:t xml:space="preserve"> = 0.75), likely because the composition of the two samples is not directly comparable. Subsequent analyses, including factorial invariance tests across differing samples at various levels of risk are thus warranted to further refine this outcome measure.</w:t>
      </w:r>
    </w:p>
    <w:p w14:paraId="1E27B070" w14:textId="77777777" w:rsidR="007D3D49" w:rsidRPr="00A51941" w:rsidRDefault="007D3D49" w:rsidP="007D3D49">
      <w:pPr>
        <w:spacing w:after="0" w:line="480" w:lineRule="auto"/>
        <w:rPr>
          <w:rFonts w:ascii="Times New Roman" w:hAnsi="Times New Roman" w:cs="Times New Roman"/>
          <w:sz w:val="24"/>
          <w:szCs w:val="24"/>
        </w:rPr>
      </w:pPr>
      <w:r w:rsidRPr="00A51941">
        <w:rPr>
          <w:rFonts w:ascii="Times New Roman" w:hAnsi="Times New Roman" w:cs="Times New Roman"/>
          <w:sz w:val="24"/>
          <w:szCs w:val="24"/>
        </w:rPr>
        <w:lastRenderedPageBreak/>
        <w:tab/>
        <w:t xml:space="preserve">To assess the effect of the added SPSHK module on efficacy of PAT, parents responded to questions regarding parenting behaviors targeted by the PAT curriculum at all time points (Figure 1). Three subscales of the Alabama Parenting Questionnaire (APQ;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author":[{"dropping-particle":"","family":"Shelton","given":"K.K.","non-dropping-particle":"","parse-names":false,"suffix":""},{"dropping-particle":"","family":"Frick","given":"P.J.","non-dropping-particle":"","parse-names":false,"suffix":""},{"dropping-particle":"","family":"Wootton","given":"J.","non-dropping-particle":"","parse-names":false,"suffix":""}],"container-title":"Jounral of Clinical Child Psychology","id":"ITEM-1","issue":"3","issued":{"date-parts":[["1996"]]},"page":"317-329","title":"Assessment of parenting practices in families of elementary school-age children","type":"article-journal","volume":"25"},"uris":["http://www.mendeley.com/documents/?uuid=e32d3993-94c7-42b6-9503-bae1b3ca5a21"]}],"mendeley":{"formattedCitation":"(Shelton, Frick, &amp; Wootton, 1996)","manualFormatting":"Shelton et al., 1996)","plainTextFormattedCitation":"(Shelton, Frick, &amp; Wootton, 1996)","previouslyFormattedCitation":"(Shelton, Frick, &amp; Wootton, 1996)"},"properties":{"noteIndex":0},"schema":"https://github.com/citation-style-language/schema/raw/master/csl-citation.json"}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Shelton et al., 1996)</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corresponding to the parenting skills taught by PAT were selected: involvement (9-items; α</w:t>
      </w:r>
      <w:r w:rsidRPr="00A51941">
        <w:rPr>
          <w:rFonts w:ascii="Times New Roman" w:hAnsi="Times New Roman" w:cs="Times New Roman"/>
          <w:sz w:val="24"/>
          <w:szCs w:val="24"/>
          <w:vertAlign w:val="subscript"/>
        </w:rPr>
        <w:t>t1</w:t>
      </w:r>
      <w:r w:rsidRPr="00A51941">
        <w:rPr>
          <w:rFonts w:ascii="Times New Roman" w:hAnsi="Times New Roman" w:cs="Times New Roman"/>
          <w:sz w:val="24"/>
          <w:szCs w:val="24"/>
        </w:rPr>
        <w:t>= .85; e.g., “You ask your child about his/her day in school”), positive parenting (6 items; α</w:t>
      </w:r>
      <w:r w:rsidRPr="00A51941">
        <w:rPr>
          <w:rFonts w:ascii="Times New Roman" w:hAnsi="Times New Roman" w:cs="Times New Roman"/>
          <w:sz w:val="24"/>
          <w:szCs w:val="24"/>
          <w:vertAlign w:val="subscript"/>
        </w:rPr>
        <w:t xml:space="preserve">t1 </w:t>
      </w:r>
      <w:r w:rsidRPr="00A51941">
        <w:rPr>
          <w:rFonts w:ascii="Times New Roman" w:hAnsi="Times New Roman" w:cs="Times New Roman"/>
          <w:sz w:val="24"/>
          <w:szCs w:val="24"/>
        </w:rPr>
        <w:t>= .36; e.g., “You hug or kiss your child when he/she does something well”), and inconsistent discipline (6 items; α</w:t>
      </w:r>
      <w:r w:rsidRPr="00A51941">
        <w:rPr>
          <w:rFonts w:ascii="Times New Roman" w:hAnsi="Times New Roman" w:cs="Times New Roman"/>
          <w:sz w:val="24"/>
          <w:szCs w:val="24"/>
          <w:vertAlign w:val="subscript"/>
        </w:rPr>
        <w:t>t1</w:t>
      </w:r>
      <w:r w:rsidRPr="00A51941">
        <w:rPr>
          <w:rFonts w:ascii="Times New Roman" w:hAnsi="Times New Roman" w:cs="Times New Roman"/>
          <w:sz w:val="24"/>
          <w:szCs w:val="24"/>
        </w:rPr>
        <w:t>= .74; e.g., “The punishment you give your child depends on your mood”). All items were rated on a 5-point frequency scale (</w:t>
      </w:r>
      <w:r w:rsidRPr="00A51941">
        <w:rPr>
          <w:rFonts w:ascii="Times New Roman" w:hAnsi="Times New Roman" w:cs="Times New Roman"/>
          <w:i/>
          <w:iCs/>
          <w:sz w:val="24"/>
          <w:szCs w:val="24"/>
        </w:rPr>
        <w:t>never</w:t>
      </w:r>
      <w:r w:rsidRPr="00A51941">
        <w:rPr>
          <w:rFonts w:ascii="Times New Roman" w:hAnsi="Times New Roman" w:cs="Times New Roman"/>
          <w:sz w:val="24"/>
          <w:szCs w:val="24"/>
        </w:rPr>
        <w:t xml:space="preserve"> to </w:t>
      </w:r>
      <w:r w:rsidRPr="00A51941">
        <w:rPr>
          <w:rFonts w:ascii="Times New Roman" w:hAnsi="Times New Roman" w:cs="Times New Roman"/>
          <w:i/>
          <w:iCs/>
          <w:sz w:val="24"/>
          <w:szCs w:val="24"/>
        </w:rPr>
        <w:t>always</w:t>
      </w:r>
      <w:r w:rsidRPr="00A51941">
        <w:rPr>
          <w:rFonts w:ascii="Times New Roman" w:hAnsi="Times New Roman" w:cs="Times New Roman"/>
          <w:sz w:val="24"/>
          <w:szCs w:val="24"/>
        </w:rPr>
        <w:t xml:space="preserve">) with higher scores indicating a higher frequency of the behavior (max score = 105). Parents also had the option to select “child is too young.” For the present analyses, parents reporting on children under two years old were excluded from the APQ analysis. If a parent endorsed the “child is too young” option, but the oldest reported child was over two years old, the item was recoded to never.  </w:t>
      </w:r>
    </w:p>
    <w:p w14:paraId="73A86A96" w14:textId="77777777" w:rsidR="007D3D49" w:rsidRPr="00A51941" w:rsidRDefault="007D3D49" w:rsidP="007D3D49">
      <w:pPr>
        <w:spacing w:after="0" w:line="480" w:lineRule="auto"/>
        <w:rPr>
          <w:rFonts w:ascii="Times New Roman" w:hAnsi="Times New Roman" w:cs="Times New Roman"/>
          <w:sz w:val="24"/>
          <w:szCs w:val="24"/>
        </w:rPr>
      </w:pPr>
      <w:r w:rsidRPr="00A51941">
        <w:rPr>
          <w:rFonts w:ascii="Times New Roman" w:hAnsi="Times New Roman" w:cs="Times New Roman"/>
          <w:b/>
          <w:sz w:val="24"/>
          <w:szCs w:val="24"/>
        </w:rPr>
        <w:t>Analytic Plan</w:t>
      </w:r>
    </w:p>
    <w:p w14:paraId="1F0DFBA6" w14:textId="77777777" w:rsidR="007D3D49" w:rsidRPr="00A51941" w:rsidRDefault="007D3D49" w:rsidP="007D3D49">
      <w:pPr>
        <w:spacing w:after="0" w:line="480" w:lineRule="auto"/>
        <w:rPr>
          <w:rFonts w:ascii="Times New Roman" w:hAnsi="Times New Roman" w:cs="Times New Roman"/>
          <w:sz w:val="24"/>
          <w:szCs w:val="24"/>
        </w:rPr>
      </w:pPr>
      <w:r w:rsidRPr="00A51941">
        <w:rPr>
          <w:rFonts w:ascii="Times New Roman" w:hAnsi="Times New Roman" w:cs="Times New Roman"/>
          <w:sz w:val="24"/>
          <w:szCs w:val="24"/>
        </w:rPr>
        <w:tab/>
        <w:t xml:space="preserve">Data were managed using </w:t>
      </w:r>
      <w:proofErr w:type="spellStart"/>
      <w:r w:rsidRPr="00A51941">
        <w:rPr>
          <w:rFonts w:ascii="Times New Roman" w:hAnsi="Times New Roman" w:cs="Times New Roman"/>
          <w:sz w:val="24"/>
          <w:szCs w:val="24"/>
        </w:rPr>
        <w:t>REDCap</w:t>
      </w:r>
      <w:proofErr w:type="spellEnd"/>
      <w:r w:rsidRPr="00A51941">
        <w:rPr>
          <w:rFonts w:ascii="Times New Roman" w:hAnsi="Times New Roman" w:cs="Times New Roman"/>
          <w:sz w:val="24"/>
          <w:szCs w:val="24"/>
          <w:vertAlign w:val="superscript"/>
        </w:rPr>
        <w:t xml:space="preserve">® </w:t>
      </w:r>
      <w:r w:rsidRPr="00A51941">
        <w:rPr>
          <w:rFonts w:ascii="Times New Roman" w:hAnsi="Times New Roman" w:cs="Times New Roman"/>
          <w:sz w:val="24"/>
          <w:szCs w:val="24"/>
        </w:rPr>
        <w:t>and analyzed using SAS v 9.4. Between-group differences in parent characteristics including risk factors for maltreatment at baseline were examined, and values are reported in Table 1. Models evaluating the effect of the CSA module over time and the effect of the CSA module on parenting skills (measured by APQ) were estimated in the multilevel modeling framework using PROC MIXED with the restricted maximum likelihood (REML) estimator. REML is a full information maximum likelihood estimator that uses all information provided from each participant, resulting in small amounts of missing data across measures (11%). Initially, three-level multilevel models were estimated to account for time (treated as a continuous variable; level-1) nested within individuals (level-2) and sites (level-3). However, there were too few sites (</w:t>
      </w:r>
      <w:r w:rsidRPr="00A51941">
        <w:rPr>
          <w:rFonts w:ascii="Times New Roman" w:hAnsi="Times New Roman" w:cs="Times New Roman"/>
          <w:i/>
          <w:iCs/>
          <w:sz w:val="24"/>
          <w:szCs w:val="24"/>
        </w:rPr>
        <w:t xml:space="preserve">n </w:t>
      </w:r>
      <w:r w:rsidRPr="00A51941">
        <w:rPr>
          <w:rFonts w:ascii="Times New Roman" w:hAnsi="Times New Roman" w:cs="Times New Roman"/>
          <w:sz w:val="24"/>
          <w:szCs w:val="24"/>
        </w:rPr>
        <w:t xml:space="preserve">= 6) to reliably estimate the models and </w:t>
      </w:r>
      <w:r w:rsidRPr="00A51941">
        <w:rPr>
          <w:rFonts w:ascii="Times New Roman" w:hAnsi="Times New Roman" w:cs="Times New Roman"/>
          <w:sz w:val="24"/>
          <w:szCs w:val="24"/>
        </w:rPr>
        <w:lastRenderedPageBreak/>
        <w:t>the ICCs were near zero. Next, we estimated two-level multilevel models controlling for site as a fixed effect. However, these models did not converge due to a multicollinearity issue between the indicator for condition and site; a majority (~86%) of participants from the control condition came from a single site. As a result, the final models estimated were two-level multilevel models, ignoring cluster, where repeated assessments were nested within individuals. The primary effect of interest was the interaction between the experimental condition (PAT+SPSHK) and the linear time trends. Alpha levels for all analyses were set to 0.05.</w:t>
      </w:r>
    </w:p>
    <w:p w14:paraId="767BCC38" w14:textId="77777777" w:rsidR="007D3D49" w:rsidRPr="00A51941" w:rsidRDefault="007D3D49" w:rsidP="007D3D49">
      <w:pPr>
        <w:widowControl w:val="0"/>
        <w:autoSpaceDE w:val="0"/>
        <w:autoSpaceDN w:val="0"/>
        <w:adjustRightInd w:val="0"/>
        <w:spacing w:after="0" w:line="480" w:lineRule="auto"/>
        <w:jc w:val="center"/>
        <w:rPr>
          <w:rFonts w:ascii="Times New Roman" w:hAnsi="Times New Roman" w:cs="Times New Roman"/>
          <w:sz w:val="24"/>
          <w:szCs w:val="24"/>
        </w:rPr>
      </w:pPr>
      <w:r w:rsidRPr="00A51941">
        <w:rPr>
          <w:rFonts w:ascii="Times New Roman" w:hAnsi="Times New Roman" w:cs="Times New Roman"/>
          <w:b/>
          <w:sz w:val="24"/>
          <w:szCs w:val="24"/>
        </w:rPr>
        <w:t>Results</w:t>
      </w:r>
      <w:r w:rsidRPr="00A51941">
        <w:rPr>
          <w:rFonts w:ascii="Times New Roman" w:hAnsi="Times New Roman" w:cs="Times New Roman"/>
          <w:sz w:val="24"/>
          <w:szCs w:val="24"/>
        </w:rPr>
        <w:tab/>
      </w:r>
    </w:p>
    <w:p w14:paraId="06567409" w14:textId="77777777" w:rsidR="007D3D49" w:rsidRPr="00A51941" w:rsidRDefault="007D3D49" w:rsidP="007D3D49">
      <w:pPr>
        <w:spacing w:after="0" w:line="480" w:lineRule="auto"/>
        <w:ind w:firstLine="720"/>
        <w:rPr>
          <w:rFonts w:ascii="Times New Roman" w:hAnsi="Times New Roman" w:cs="Times New Roman"/>
          <w:sz w:val="24"/>
          <w:szCs w:val="24"/>
        </w:rPr>
      </w:pPr>
      <w:r w:rsidRPr="00A51941">
        <w:rPr>
          <w:rFonts w:ascii="Times New Roman" w:hAnsi="Times New Roman" w:cs="Times New Roman"/>
          <w:sz w:val="24"/>
          <w:szCs w:val="24"/>
        </w:rPr>
        <w:t>Participant characteristics are reported in Table 1. Participants in both PAT+SPSHK and PAT-AU groups reported minimal alcohol use (</w:t>
      </w:r>
      <w:r w:rsidRPr="00A51941">
        <w:rPr>
          <w:rFonts w:ascii="Times New Roman" w:hAnsi="Times New Roman" w:cs="Times New Roman"/>
          <w:i/>
          <w:iCs/>
          <w:sz w:val="24"/>
          <w:szCs w:val="24"/>
        </w:rPr>
        <w:t xml:space="preserve">M </w:t>
      </w:r>
      <w:r w:rsidRPr="00A51941">
        <w:rPr>
          <w:rFonts w:ascii="Times New Roman" w:hAnsi="Times New Roman" w:cs="Times New Roman"/>
          <w:sz w:val="24"/>
          <w:szCs w:val="24"/>
        </w:rPr>
        <w:t>= 0.91); most parents (40%) scored a 0 on the AUDIT and no parents had a score indicating an alcohol problem. Similarly, participants reported minimal drug use (</w:t>
      </w:r>
      <w:r w:rsidRPr="00A51941">
        <w:rPr>
          <w:rFonts w:ascii="Times New Roman" w:hAnsi="Times New Roman" w:cs="Times New Roman"/>
          <w:i/>
          <w:iCs/>
          <w:sz w:val="24"/>
          <w:szCs w:val="24"/>
        </w:rPr>
        <w:t>M</w:t>
      </w:r>
      <w:r w:rsidRPr="00A51941">
        <w:rPr>
          <w:rFonts w:ascii="Times New Roman" w:hAnsi="Times New Roman" w:cs="Times New Roman"/>
          <w:sz w:val="24"/>
          <w:szCs w:val="24"/>
        </w:rPr>
        <w:t xml:space="preserve"> = 0.24); the majority (87%) scored a 0 on the DAST. The highest score was 2 (</w:t>
      </w:r>
      <w:r w:rsidRPr="00A51941">
        <w:rPr>
          <w:rFonts w:ascii="Times New Roman" w:hAnsi="Times New Roman" w:cs="Times New Roman"/>
          <w:i/>
          <w:iCs/>
          <w:sz w:val="24"/>
          <w:szCs w:val="24"/>
        </w:rPr>
        <w:t>n</w:t>
      </w:r>
      <w:r w:rsidRPr="00A51941">
        <w:rPr>
          <w:rFonts w:ascii="Times New Roman" w:hAnsi="Times New Roman" w:cs="Times New Roman"/>
          <w:sz w:val="24"/>
          <w:szCs w:val="24"/>
        </w:rPr>
        <w:t xml:space="preserve"> = 3) indicating low drug use. Self-reported substance use among this sample was lower than hypothesized; the most recent prevalence estimates indicate that among children with a substantiated case of maltreatment, 12% had the caregiver alcohol use risk factor and 31% had the caregiver drug use risk factor (DHHS, 2020). The mean score on the CESD was 9.45 (</w:t>
      </w:r>
      <w:r w:rsidRPr="00A51941">
        <w:rPr>
          <w:rFonts w:ascii="Times New Roman" w:hAnsi="Times New Roman" w:cs="Times New Roman"/>
          <w:i/>
          <w:iCs/>
          <w:sz w:val="24"/>
          <w:szCs w:val="24"/>
        </w:rPr>
        <w:t xml:space="preserve">SD </w:t>
      </w:r>
      <w:r w:rsidRPr="00A51941">
        <w:rPr>
          <w:rFonts w:ascii="Times New Roman" w:hAnsi="Times New Roman" w:cs="Times New Roman"/>
          <w:sz w:val="24"/>
          <w:szCs w:val="24"/>
        </w:rPr>
        <w:t xml:space="preserve">= 6.64); however, 27% of the sample met diagnostic criteria for depressive symptoms (≥16). The prevalence of depressive symptoms is within expected ranges; it is estimated nearly one-quarter of child welfare involved children have a caregiver meeting diagnostic criteria for depression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{"citationItems":[{"id":"ITEM-1","itemData":{"author":[{"dropping-particle":"","family":"Children's Bureau of the Administration on Chidlren and Families","given":"","non-dropping-particle":"","parse-names":false,"suffix":""}],"id":"ITEM-1","issued":{"date-parts":[["2005"]]},"title":"National Survey of Child and Adolescent Well-being (NSCAW): CPS sample component wave 1 data analysis report","type":"report"},"uris":["http://www.mendeley.com/documents/?uuid=7b2a690e-0504-4c90-aef9-103eecad8391"]}],"mendeley":{"formattedCitation":"(Children’s Bureau of the Administration on Chidlren and Families, 2005)","manualFormatting":"(Children’s Bureau, 2005)","plainTextFormattedCitation":"(Children’s Bureau of the Administration on Chidlren and Families, 2005)","previouslyFormattedCitation":"(Children’s Bureau of the Administration on Chidlren and Families, 2005)"},"properties":{"noteIndex":0},"schema":"https://github.com/citation-style-language/schema/raw/master/csl-citation.json"}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(Children’s Bureau, 2005)</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The mean score on the ISEL was 21 (</w:t>
      </w:r>
      <w:r w:rsidRPr="00A51941">
        <w:rPr>
          <w:rFonts w:ascii="Times New Roman" w:hAnsi="Times New Roman" w:cs="Times New Roman"/>
          <w:i/>
          <w:iCs/>
          <w:sz w:val="24"/>
          <w:szCs w:val="24"/>
        </w:rPr>
        <w:t>SD</w:t>
      </w:r>
      <w:r w:rsidRPr="00A51941">
        <w:rPr>
          <w:rFonts w:ascii="Times New Roman" w:hAnsi="Times New Roman" w:cs="Times New Roman"/>
          <w:sz w:val="24"/>
          <w:szCs w:val="24"/>
        </w:rPr>
        <w:t xml:space="preserve"> = 3.51; range = 8–28) indicating a moderate level of perceived social support, though lower than observed among comparable samples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{"citationItems":[{"id":"ITEM-1","itemData":{"DOI":"10.1038/jid.2014.371","ISBN":"6176321972","ISSN":"15378276","PMID":"1000000221","author":[{"dropping-particle":"","family":"Ammerman","given":"Robert T.","non-dropping-particle":"","parse-names":false,"suffix":""},{"dropping-particle":"","family":"Putnam","given":"Frank W.","non-dropping-particle":"","parse-names":false,"suffix":""},{"dropping-particle":"","family":"Altaye","given":"Mekibib","non-dropping-particle":"","parse-names":false,"suffix":""},{"dropping-particle":"","family":"Teeters","given":"Angelique R.","non-dropping-particle":"","parse-names":false,"suffix":""},{"dropping-particle":"","family":"Stevens","given":"Jack","non-dropping-particle":"","parse-names":false,"suffix":""},{"dropping-particle":"","family":"Ginkel","given":"Judith B.","non-dropping-particle":"Van","parse-names":false,"suffix":""}],"container-title":"Child Abuse &amp; Neglect","id":"ITEM-1","issue":"8","issued":{"date-parts":[["2013"]]},"page":"544-554","title":"Treatment of depressed mothers in home visiting: Impact on psychological distress and social functioning","type":"article-journal","volume":"38"},"uris":["http://www.mendeley.com/documents/?uuid=b7bbd489-9479-4c15-8f80-cc5907d4501a"]}],"mendeley":{"formattedCitation":"(Ammerman et al., 2013)","plainTextFormattedCitation":"(Ammerman et al., 2013)","previouslyFormattedCitation":"(Ammerman et al., 2013)"},"properties":{"noteIndex":0},"schema":"https://github.com/citation-style-language/schema/raw/master/csl-citation.json"}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(Ammerman et al., 2013)</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Parents in the PAT+SPSHK group reported </w:t>
      </w:r>
      <w:r w:rsidRPr="00A51941">
        <w:rPr>
          <w:rFonts w:ascii="Times New Roman" w:hAnsi="Times New Roman" w:cs="Times New Roman"/>
          <w:sz w:val="24"/>
          <w:szCs w:val="24"/>
        </w:rPr>
        <w:lastRenderedPageBreak/>
        <w:t>significantly higher perceived social support compared to parents in the PAT-AU group (</w:t>
      </w:r>
      <w:r w:rsidRPr="00A51941">
        <w:rPr>
          <w:rFonts w:ascii="Times New Roman" w:hAnsi="Times New Roman" w:cs="Times New Roman"/>
          <w:i/>
          <w:iCs/>
          <w:sz w:val="24"/>
          <w:szCs w:val="24"/>
        </w:rPr>
        <w:t>p</w:t>
      </w:r>
      <w:r w:rsidRPr="00A51941">
        <w:rPr>
          <w:rFonts w:ascii="Times New Roman" w:hAnsi="Times New Roman" w:cs="Times New Roman"/>
          <w:sz w:val="24"/>
          <w:szCs w:val="24"/>
        </w:rPr>
        <w:t xml:space="preserve"> = 0.04), which was controlled for in analytic models.  </w:t>
      </w:r>
    </w:p>
    <w:p w14:paraId="3DAE4221" w14:textId="77777777" w:rsidR="007D3D49" w:rsidRPr="00A51941" w:rsidRDefault="007D3D49" w:rsidP="007D3D49">
      <w:pPr>
        <w:spacing w:after="0" w:line="480" w:lineRule="auto"/>
        <w:rPr>
          <w:rFonts w:ascii="Times New Roman" w:hAnsi="Times New Roman" w:cs="Times New Roman"/>
          <w:b/>
          <w:bCs/>
          <w:sz w:val="24"/>
          <w:szCs w:val="24"/>
        </w:rPr>
      </w:pPr>
      <w:r w:rsidRPr="00A51941">
        <w:rPr>
          <w:rFonts w:ascii="Times New Roman" w:hAnsi="Times New Roman" w:cs="Times New Roman"/>
          <w:b/>
          <w:bCs/>
          <w:sz w:val="24"/>
          <w:szCs w:val="24"/>
        </w:rPr>
        <w:t>Effect of SPSHK</w:t>
      </w:r>
    </w:p>
    <w:p w14:paraId="612BC30E" w14:textId="77777777" w:rsidR="007D3D49" w:rsidRPr="00A51941" w:rsidRDefault="007D3D49" w:rsidP="007D3D49">
      <w:pPr>
        <w:spacing w:after="0" w:line="480" w:lineRule="auto"/>
        <w:rPr>
          <w:rFonts w:ascii="Times New Roman" w:hAnsi="Times New Roman" w:cs="Times New Roman"/>
          <w:sz w:val="24"/>
          <w:szCs w:val="24"/>
        </w:rPr>
      </w:pPr>
      <w:r w:rsidRPr="00A51941">
        <w:rPr>
          <w:rFonts w:ascii="Times New Roman" w:hAnsi="Times New Roman" w:cs="Times New Roman"/>
          <w:sz w:val="24"/>
          <w:szCs w:val="24"/>
        </w:rPr>
        <w:tab/>
      </w:r>
      <w:r w:rsidRPr="00A51941">
        <w:rPr>
          <w:rFonts w:ascii="Times New Roman" w:hAnsi="Times New Roman" w:cs="Times New Roman"/>
          <w:b/>
          <w:bCs/>
          <w:sz w:val="24"/>
          <w:szCs w:val="24"/>
        </w:rPr>
        <w:t xml:space="preserve">Awareness. </w:t>
      </w:r>
      <w:r w:rsidRPr="00A51941">
        <w:rPr>
          <w:rFonts w:ascii="Times New Roman" w:hAnsi="Times New Roman" w:cs="Times New Roman"/>
          <w:sz w:val="24"/>
          <w:szCs w:val="24"/>
        </w:rPr>
        <w:t>Raw means on the awareness subscale for each group over time are presented in Table 2. In the unconditional model, results indicate a significant effect for Time indicating that awareness increased linearly over time for both groups (</w:t>
      </w:r>
      <w:r w:rsidRPr="00A51941">
        <w:rPr>
          <w:rFonts w:ascii="Times New Roman" w:hAnsi="Times New Roman" w:cs="Times New Roman"/>
          <w:i/>
          <w:iCs/>
          <w:sz w:val="24"/>
          <w:szCs w:val="24"/>
        </w:rPr>
        <w:t xml:space="preserve">F </w:t>
      </w:r>
      <w:r w:rsidRPr="00A51941">
        <w:rPr>
          <w:rFonts w:ascii="Times New Roman" w:hAnsi="Times New Roman" w:cs="Times New Roman"/>
          <w:i/>
          <w:iCs/>
          <w:sz w:val="24"/>
          <w:szCs w:val="24"/>
          <w:vertAlign w:val="subscript"/>
        </w:rPr>
        <w:t>[1, 282]</w:t>
      </w:r>
      <w:r w:rsidRPr="00A51941">
        <w:rPr>
          <w:rFonts w:ascii="Times New Roman" w:hAnsi="Times New Roman" w:cs="Times New Roman"/>
          <w:sz w:val="24"/>
          <w:szCs w:val="24"/>
        </w:rPr>
        <w:t xml:space="preserve"> = 18.05, </w:t>
      </w:r>
      <w:r w:rsidRPr="00A51941">
        <w:rPr>
          <w:rFonts w:ascii="Times New Roman" w:hAnsi="Times New Roman" w:cs="Times New Roman"/>
          <w:i/>
          <w:iCs/>
          <w:sz w:val="24"/>
          <w:szCs w:val="24"/>
        </w:rPr>
        <w:t>p</w:t>
      </w:r>
      <w:r w:rsidRPr="00A51941">
        <w:rPr>
          <w:rFonts w:ascii="Times New Roman" w:hAnsi="Times New Roman" w:cs="Times New Roman"/>
          <w:sz w:val="24"/>
          <w:szCs w:val="24"/>
        </w:rPr>
        <w:t xml:space="preserve"> &lt; 0.001). The conditional model showed a significant Group X Time interaction effect (</w:t>
      </w:r>
      <w:r w:rsidRPr="00A51941">
        <w:rPr>
          <w:rFonts w:ascii="Times New Roman" w:hAnsi="Times New Roman" w:cs="Times New Roman"/>
          <w:i/>
          <w:iCs/>
          <w:sz w:val="24"/>
          <w:szCs w:val="24"/>
        </w:rPr>
        <w:t>F</w:t>
      </w:r>
      <w:r w:rsidRPr="00A51941">
        <w:rPr>
          <w:rFonts w:ascii="Times New Roman" w:hAnsi="Times New Roman" w:cs="Times New Roman"/>
          <w:i/>
          <w:iCs/>
          <w:sz w:val="24"/>
          <w:szCs w:val="24"/>
          <w:vertAlign w:val="subscript"/>
        </w:rPr>
        <w:t>[1, 254]</w:t>
      </w:r>
      <w:r w:rsidRPr="00A51941">
        <w:rPr>
          <w:rFonts w:ascii="Times New Roman" w:hAnsi="Times New Roman" w:cs="Times New Roman"/>
          <w:sz w:val="24"/>
          <w:szCs w:val="24"/>
        </w:rPr>
        <w:t xml:space="preserve"> = 4.53, </w:t>
      </w:r>
      <w:r w:rsidRPr="00A51941">
        <w:rPr>
          <w:rFonts w:ascii="Times New Roman" w:hAnsi="Times New Roman" w:cs="Times New Roman"/>
          <w:i/>
          <w:iCs/>
          <w:sz w:val="24"/>
          <w:szCs w:val="24"/>
        </w:rPr>
        <w:t>p</w:t>
      </w:r>
      <w:r w:rsidRPr="00A51941">
        <w:rPr>
          <w:rFonts w:ascii="Times New Roman" w:hAnsi="Times New Roman" w:cs="Times New Roman"/>
          <w:sz w:val="24"/>
          <w:szCs w:val="24"/>
        </w:rPr>
        <w:t xml:space="preserve"> = 0.034), indicating that the PAT+SPSHK group showed steeper gains in CSA awareness over time as compared to the PAT-AU group, and that these gains were maintained at follow-up (Figure 2). As depicted in Figure 2, both groups demonstrated an increase in awareness over time but the level of awareness among parents in the PAT-AU group decreased at the one-month follow-up (T4). Post hoc area under the curve analyses indicate gains in awareness among the PAT+SPSHK group were maintained to a greater degree at follow-up compared to the PAT-AU group (</w:t>
      </w:r>
      <w:proofErr w:type="gramStart"/>
      <w:r w:rsidRPr="00A51941">
        <w:rPr>
          <w:rFonts w:ascii="Times New Roman" w:hAnsi="Times New Roman" w:cs="Times New Roman"/>
          <w:i/>
          <w:iCs/>
          <w:sz w:val="24"/>
          <w:szCs w:val="24"/>
        </w:rPr>
        <w:t>F</w:t>
      </w:r>
      <w:r w:rsidRPr="00A51941">
        <w:rPr>
          <w:rFonts w:ascii="Times New Roman" w:hAnsi="Times New Roman" w:cs="Times New Roman"/>
          <w:i/>
          <w:iCs/>
          <w:sz w:val="24"/>
          <w:szCs w:val="24"/>
          <w:vertAlign w:val="subscript"/>
        </w:rPr>
        <w:t>[</w:t>
      </w:r>
      <w:proofErr w:type="gramEnd"/>
      <w:r w:rsidRPr="00A51941">
        <w:rPr>
          <w:rFonts w:ascii="Times New Roman" w:hAnsi="Times New Roman" w:cs="Times New Roman"/>
          <w:i/>
          <w:iCs/>
          <w:sz w:val="24"/>
          <w:szCs w:val="24"/>
          <w:vertAlign w:val="subscript"/>
        </w:rPr>
        <w:t>1, 89]</w:t>
      </w:r>
      <w:r w:rsidRPr="00A51941">
        <w:rPr>
          <w:rFonts w:ascii="Times New Roman" w:hAnsi="Times New Roman" w:cs="Times New Roman"/>
          <w:sz w:val="24"/>
          <w:szCs w:val="24"/>
        </w:rPr>
        <w:t xml:space="preserve"> = 5.68, </w:t>
      </w:r>
      <w:r w:rsidRPr="00A51941">
        <w:rPr>
          <w:rFonts w:ascii="Times New Roman" w:hAnsi="Times New Roman" w:cs="Times New Roman"/>
          <w:i/>
          <w:iCs/>
          <w:sz w:val="24"/>
          <w:szCs w:val="24"/>
        </w:rPr>
        <w:t>p</w:t>
      </w:r>
      <w:r w:rsidRPr="00A51941">
        <w:rPr>
          <w:rFonts w:ascii="Times New Roman" w:hAnsi="Times New Roman" w:cs="Times New Roman"/>
          <w:sz w:val="24"/>
          <w:szCs w:val="24"/>
        </w:rPr>
        <w:t xml:space="preserve"> = .019). This suggests that those who received SPSHK were able to maintain gains and a longer follow-up period may further be evidence of the benefit of the added module.</w:t>
      </w:r>
    </w:p>
    <w:p w14:paraId="66E6CC78" w14:textId="77777777" w:rsidR="007D3D49" w:rsidRPr="00A51941" w:rsidRDefault="007D3D49" w:rsidP="007D3D49">
      <w:pPr>
        <w:spacing w:after="0" w:line="480" w:lineRule="auto"/>
        <w:ind w:firstLine="720"/>
        <w:rPr>
          <w:rFonts w:ascii="Times New Roman" w:hAnsi="Times New Roman" w:cs="Times New Roman"/>
          <w:sz w:val="24"/>
          <w:szCs w:val="24"/>
        </w:rPr>
      </w:pPr>
      <w:r w:rsidRPr="00A51941">
        <w:rPr>
          <w:rFonts w:ascii="Times New Roman" w:hAnsi="Times New Roman" w:cs="Times New Roman"/>
          <w:b/>
          <w:bCs/>
          <w:sz w:val="24"/>
          <w:szCs w:val="24"/>
        </w:rPr>
        <w:t>Behaviors</w:t>
      </w:r>
      <w:r w:rsidRPr="00A51941">
        <w:rPr>
          <w:rFonts w:ascii="Times New Roman" w:hAnsi="Times New Roman" w:cs="Times New Roman"/>
          <w:i/>
          <w:iCs/>
          <w:sz w:val="24"/>
          <w:szCs w:val="24"/>
        </w:rPr>
        <w:t>.</w:t>
      </w:r>
      <w:r w:rsidRPr="00A51941">
        <w:rPr>
          <w:rFonts w:ascii="Times New Roman" w:hAnsi="Times New Roman" w:cs="Times New Roman"/>
          <w:sz w:val="24"/>
          <w:szCs w:val="24"/>
        </w:rPr>
        <w:t xml:space="preserve"> Raw means on the behavior subscale for each group over time are presented in Table 2. Unconditional models for behaviors showed a significant linear effect for Time (</w:t>
      </w:r>
      <w:proofErr w:type="gramStart"/>
      <w:r w:rsidRPr="00A51941">
        <w:rPr>
          <w:rFonts w:ascii="Times New Roman" w:hAnsi="Times New Roman" w:cs="Times New Roman"/>
          <w:i/>
          <w:iCs/>
          <w:sz w:val="24"/>
          <w:szCs w:val="24"/>
        </w:rPr>
        <w:t>F</w:t>
      </w:r>
      <w:r w:rsidRPr="00A51941">
        <w:rPr>
          <w:rFonts w:ascii="Times New Roman" w:hAnsi="Times New Roman" w:cs="Times New Roman"/>
          <w:i/>
          <w:iCs/>
          <w:sz w:val="24"/>
          <w:szCs w:val="24"/>
          <w:vertAlign w:val="subscript"/>
        </w:rPr>
        <w:t>[</w:t>
      </w:r>
      <w:proofErr w:type="gramEnd"/>
      <w:r w:rsidRPr="00A51941">
        <w:rPr>
          <w:rFonts w:ascii="Times New Roman" w:hAnsi="Times New Roman" w:cs="Times New Roman"/>
          <w:i/>
          <w:iCs/>
          <w:sz w:val="24"/>
          <w:szCs w:val="24"/>
          <w:vertAlign w:val="subscript"/>
        </w:rPr>
        <w:t>1,281]</w:t>
      </w:r>
      <w:r w:rsidRPr="00A51941">
        <w:rPr>
          <w:rFonts w:ascii="Times New Roman" w:hAnsi="Times New Roman" w:cs="Times New Roman"/>
          <w:sz w:val="24"/>
          <w:szCs w:val="24"/>
        </w:rPr>
        <w:t xml:space="preserve"> = 22.67, </w:t>
      </w:r>
      <w:r w:rsidRPr="00A51941">
        <w:rPr>
          <w:rFonts w:ascii="Times New Roman" w:hAnsi="Times New Roman" w:cs="Times New Roman"/>
          <w:i/>
          <w:iCs/>
          <w:sz w:val="24"/>
          <w:szCs w:val="24"/>
        </w:rPr>
        <w:t>p</w:t>
      </w:r>
      <w:r w:rsidRPr="00A51941">
        <w:rPr>
          <w:rFonts w:ascii="Times New Roman" w:hAnsi="Times New Roman" w:cs="Times New Roman"/>
          <w:sz w:val="24"/>
          <w:szCs w:val="24"/>
        </w:rPr>
        <w:t xml:space="preserve"> &lt; 0.001), indicating that behaviors, similar to awareness, increased linearly. The conditional model also showed a significant Group X Time effect (</w:t>
      </w:r>
      <w:r w:rsidRPr="00A51941">
        <w:rPr>
          <w:rFonts w:ascii="Times New Roman" w:hAnsi="Times New Roman" w:cs="Times New Roman"/>
          <w:i/>
          <w:iCs/>
          <w:sz w:val="24"/>
          <w:szCs w:val="24"/>
        </w:rPr>
        <w:t>F</w:t>
      </w:r>
      <w:r w:rsidRPr="00A51941">
        <w:rPr>
          <w:rFonts w:ascii="Times New Roman" w:hAnsi="Times New Roman" w:cs="Times New Roman"/>
          <w:i/>
          <w:iCs/>
          <w:sz w:val="24"/>
          <w:szCs w:val="24"/>
          <w:vertAlign w:val="subscript"/>
        </w:rPr>
        <w:t>[1.236]</w:t>
      </w:r>
      <w:r w:rsidRPr="00A51941">
        <w:rPr>
          <w:rFonts w:ascii="Times New Roman" w:hAnsi="Times New Roman" w:cs="Times New Roman"/>
          <w:sz w:val="24"/>
          <w:szCs w:val="24"/>
        </w:rPr>
        <w:t xml:space="preserve"> = 8.36, </w:t>
      </w:r>
      <w:r w:rsidRPr="00A51941">
        <w:rPr>
          <w:rFonts w:ascii="Times New Roman" w:hAnsi="Times New Roman" w:cs="Times New Roman"/>
          <w:i/>
          <w:iCs/>
          <w:sz w:val="24"/>
          <w:szCs w:val="24"/>
        </w:rPr>
        <w:t>p</w:t>
      </w:r>
      <w:r w:rsidRPr="00A51941">
        <w:rPr>
          <w:rFonts w:ascii="Times New Roman" w:hAnsi="Times New Roman" w:cs="Times New Roman"/>
          <w:sz w:val="24"/>
          <w:szCs w:val="24"/>
        </w:rPr>
        <w:t xml:space="preserve"> &lt; 0.001), suggesting greater gains in protective behaviors for those in the PAT+SPSHK group than for those in the PAT-AU group (Figure 3). </w:t>
      </w:r>
    </w:p>
    <w:p w14:paraId="3F3F165F" w14:textId="77777777" w:rsidR="007D3D49" w:rsidRPr="00A51941" w:rsidRDefault="007D3D49" w:rsidP="007D3D49">
      <w:pPr>
        <w:spacing w:after="0" w:line="480" w:lineRule="auto"/>
        <w:rPr>
          <w:rFonts w:ascii="Times New Roman" w:hAnsi="Times New Roman" w:cs="Times New Roman"/>
          <w:b/>
          <w:bCs/>
          <w:sz w:val="24"/>
          <w:szCs w:val="24"/>
        </w:rPr>
      </w:pPr>
      <w:r w:rsidRPr="00A51941">
        <w:rPr>
          <w:rFonts w:ascii="Times New Roman" w:hAnsi="Times New Roman" w:cs="Times New Roman"/>
          <w:b/>
          <w:bCs/>
          <w:sz w:val="24"/>
          <w:szCs w:val="24"/>
        </w:rPr>
        <w:t>Effect of SPSHK on the Efficacy of PAT</w:t>
      </w:r>
    </w:p>
    <w:p w14:paraId="724A213C" w14:textId="77777777" w:rsidR="007D3D49" w:rsidRPr="00A51941" w:rsidRDefault="007D3D49" w:rsidP="007D3D49">
      <w:pPr>
        <w:spacing w:after="0" w:line="480" w:lineRule="auto"/>
        <w:rPr>
          <w:rFonts w:ascii="Times New Roman" w:hAnsi="Times New Roman" w:cs="Times New Roman"/>
          <w:sz w:val="24"/>
          <w:szCs w:val="24"/>
        </w:rPr>
      </w:pPr>
      <w:r w:rsidRPr="00A51941">
        <w:rPr>
          <w:rFonts w:ascii="Times New Roman" w:hAnsi="Times New Roman" w:cs="Times New Roman"/>
          <w:sz w:val="24"/>
          <w:szCs w:val="24"/>
        </w:rPr>
        <w:lastRenderedPageBreak/>
        <w:tab/>
        <w:t>A secondary objective was to evaluate the impact of the addition of the added CSA-module, SPSHK, on the efficacy of PAT. Table 2 depicts raw means of general parenting behaviors as measured by the APQ for PAT+SPSHK and PAT-AU groups at each assessment timepoint. Unconditional models for involvement (</w:t>
      </w:r>
      <w:r w:rsidRPr="00A51941">
        <w:rPr>
          <w:rFonts w:ascii="Times New Roman" w:hAnsi="Times New Roman" w:cs="Times New Roman"/>
          <w:i/>
          <w:iCs/>
          <w:sz w:val="24"/>
          <w:szCs w:val="24"/>
        </w:rPr>
        <w:t>F</w:t>
      </w:r>
      <w:r w:rsidRPr="00A51941">
        <w:rPr>
          <w:rFonts w:ascii="Times New Roman" w:hAnsi="Times New Roman" w:cs="Times New Roman"/>
          <w:i/>
          <w:iCs/>
          <w:sz w:val="24"/>
          <w:szCs w:val="24"/>
          <w:vertAlign w:val="subscript"/>
        </w:rPr>
        <w:t>[1, 265]</w:t>
      </w:r>
      <w:r w:rsidRPr="00A51941">
        <w:rPr>
          <w:rFonts w:ascii="Times New Roman" w:hAnsi="Times New Roman" w:cs="Times New Roman"/>
          <w:sz w:val="24"/>
          <w:szCs w:val="24"/>
        </w:rPr>
        <w:t xml:space="preserve"> = 1.21, </w:t>
      </w:r>
      <w:r w:rsidRPr="00A51941">
        <w:rPr>
          <w:rFonts w:ascii="Times New Roman" w:hAnsi="Times New Roman" w:cs="Times New Roman"/>
          <w:i/>
          <w:iCs/>
          <w:sz w:val="24"/>
          <w:szCs w:val="24"/>
        </w:rPr>
        <w:t>p</w:t>
      </w:r>
      <w:r w:rsidRPr="00A51941">
        <w:rPr>
          <w:rFonts w:ascii="Times New Roman" w:hAnsi="Times New Roman" w:cs="Times New Roman"/>
          <w:sz w:val="24"/>
          <w:szCs w:val="24"/>
        </w:rPr>
        <w:t xml:space="preserve"> = 0.27) and positive parenting (</w:t>
      </w:r>
      <w:r w:rsidRPr="00A51941">
        <w:rPr>
          <w:rFonts w:ascii="Times New Roman" w:hAnsi="Times New Roman" w:cs="Times New Roman"/>
          <w:i/>
          <w:iCs/>
          <w:sz w:val="24"/>
          <w:szCs w:val="24"/>
        </w:rPr>
        <w:t>F</w:t>
      </w:r>
      <w:r w:rsidRPr="00A51941">
        <w:rPr>
          <w:rFonts w:ascii="Times New Roman" w:hAnsi="Times New Roman" w:cs="Times New Roman"/>
          <w:i/>
          <w:iCs/>
          <w:sz w:val="24"/>
          <w:szCs w:val="24"/>
          <w:vertAlign w:val="subscript"/>
        </w:rPr>
        <w:t>[1, 265]</w:t>
      </w:r>
      <w:r w:rsidRPr="00A51941">
        <w:rPr>
          <w:rFonts w:ascii="Times New Roman" w:hAnsi="Times New Roman" w:cs="Times New Roman"/>
          <w:sz w:val="24"/>
          <w:szCs w:val="24"/>
        </w:rPr>
        <w:t xml:space="preserve"> = 0.52, </w:t>
      </w:r>
      <w:r w:rsidRPr="00A51941">
        <w:rPr>
          <w:rFonts w:ascii="Times New Roman" w:hAnsi="Times New Roman" w:cs="Times New Roman"/>
          <w:i/>
          <w:iCs/>
          <w:sz w:val="24"/>
          <w:szCs w:val="24"/>
        </w:rPr>
        <w:t>p</w:t>
      </w:r>
      <w:r w:rsidRPr="00A51941">
        <w:rPr>
          <w:rFonts w:ascii="Times New Roman" w:hAnsi="Times New Roman" w:cs="Times New Roman"/>
          <w:sz w:val="24"/>
          <w:szCs w:val="24"/>
        </w:rPr>
        <w:t xml:space="preserve"> = 0.47) did not indicate a significant effect for time, suggesting these self-reported behaviors did not increase linearly over time. In contrast, results of the unconditional model for inconsistent discipline indicate a significant effect for time (</w:t>
      </w:r>
      <w:proofErr w:type="gramStart"/>
      <w:r w:rsidRPr="00A51941">
        <w:rPr>
          <w:rFonts w:ascii="Times New Roman" w:hAnsi="Times New Roman" w:cs="Times New Roman"/>
          <w:i/>
          <w:iCs/>
          <w:sz w:val="24"/>
          <w:szCs w:val="24"/>
        </w:rPr>
        <w:t>F</w:t>
      </w:r>
      <w:r w:rsidRPr="00A51941">
        <w:rPr>
          <w:rFonts w:ascii="Times New Roman" w:hAnsi="Times New Roman" w:cs="Times New Roman"/>
          <w:i/>
          <w:iCs/>
          <w:sz w:val="24"/>
          <w:szCs w:val="24"/>
          <w:vertAlign w:val="subscript"/>
        </w:rPr>
        <w:t>[</w:t>
      </w:r>
      <w:proofErr w:type="gramEnd"/>
      <w:r w:rsidRPr="00A51941">
        <w:rPr>
          <w:rFonts w:ascii="Times New Roman" w:hAnsi="Times New Roman" w:cs="Times New Roman"/>
          <w:i/>
          <w:iCs/>
          <w:sz w:val="24"/>
          <w:szCs w:val="24"/>
          <w:vertAlign w:val="subscript"/>
        </w:rPr>
        <w:t>1, 265]</w:t>
      </w:r>
      <w:r w:rsidRPr="00A51941">
        <w:rPr>
          <w:rFonts w:ascii="Times New Roman" w:hAnsi="Times New Roman" w:cs="Times New Roman"/>
          <w:sz w:val="24"/>
          <w:szCs w:val="24"/>
        </w:rPr>
        <w:t xml:space="preserve"> = 9.53, </w:t>
      </w:r>
      <w:r w:rsidRPr="00A51941">
        <w:rPr>
          <w:rFonts w:ascii="Times New Roman" w:hAnsi="Times New Roman" w:cs="Times New Roman"/>
          <w:i/>
          <w:iCs/>
          <w:sz w:val="24"/>
          <w:szCs w:val="24"/>
        </w:rPr>
        <w:t>p</w:t>
      </w:r>
      <w:r w:rsidRPr="00A51941">
        <w:rPr>
          <w:rFonts w:ascii="Times New Roman" w:hAnsi="Times New Roman" w:cs="Times New Roman"/>
          <w:sz w:val="24"/>
          <w:szCs w:val="24"/>
        </w:rPr>
        <w:t xml:space="preserve"> = 0.002), suggesting a reduction in the use of inconsistent discipline strategies over time. In conditional models, there were no significant Group X Time effects on involvement (</w:t>
      </w:r>
      <w:r w:rsidRPr="00A51941">
        <w:rPr>
          <w:rFonts w:ascii="Times New Roman" w:hAnsi="Times New Roman" w:cs="Times New Roman"/>
          <w:i/>
          <w:iCs/>
          <w:sz w:val="24"/>
          <w:szCs w:val="24"/>
        </w:rPr>
        <w:t>F</w:t>
      </w:r>
      <w:r w:rsidRPr="00A51941">
        <w:rPr>
          <w:rFonts w:ascii="Times New Roman" w:hAnsi="Times New Roman" w:cs="Times New Roman"/>
          <w:i/>
          <w:iCs/>
          <w:sz w:val="24"/>
          <w:szCs w:val="24"/>
          <w:vertAlign w:val="subscript"/>
        </w:rPr>
        <w:t>[1, 240]</w:t>
      </w:r>
      <w:r w:rsidRPr="00A51941">
        <w:rPr>
          <w:rFonts w:ascii="Times New Roman" w:hAnsi="Times New Roman" w:cs="Times New Roman"/>
          <w:sz w:val="24"/>
          <w:szCs w:val="24"/>
        </w:rPr>
        <w:t xml:space="preserve"> = 0.89, </w:t>
      </w:r>
      <w:r w:rsidRPr="00A51941">
        <w:rPr>
          <w:rFonts w:ascii="Times New Roman" w:hAnsi="Times New Roman" w:cs="Times New Roman"/>
          <w:i/>
          <w:iCs/>
          <w:sz w:val="24"/>
          <w:szCs w:val="24"/>
        </w:rPr>
        <w:t>p</w:t>
      </w:r>
      <w:r w:rsidRPr="00A51941">
        <w:rPr>
          <w:rFonts w:ascii="Times New Roman" w:hAnsi="Times New Roman" w:cs="Times New Roman"/>
          <w:sz w:val="24"/>
          <w:szCs w:val="24"/>
        </w:rPr>
        <w:t xml:space="preserve"> = 0.34), positive parenting (</w:t>
      </w:r>
      <w:r w:rsidRPr="00A51941">
        <w:rPr>
          <w:rFonts w:ascii="Times New Roman" w:hAnsi="Times New Roman" w:cs="Times New Roman"/>
          <w:i/>
          <w:iCs/>
          <w:sz w:val="24"/>
          <w:szCs w:val="24"/>
        </w:rPr>
        <w:t>F</w:t>
      </w:r>
      <w:r w:rsidRPr="00A51941">
        <w:rPr>
          <w:rFonts w:ascii="Times New Roman" w:hAnsi="Times New Roman" w:cs="Times New Roman"/>
          <w:i/>
          <w:iCs/>
          <w:sz w:val="24"/>
          <w:szCs w:val="24"/>
          <w:vertAlign w:val="subscript"/>
        </w:rPr>
        <w:t>[1, 240]</w:t>
      </w:r>
      <w:r w:rsidRPr="00A51941">
        <w:rPr>
          <w:rFonts w:ascii="Times New Roman" w:hAnsi="Times New Roman" w:cs="Times New Roman"/>
          <w:sz w:val="24"/>
          <w:szCs w:val="24"/>
        </w:rPr>
        <w:t xml:space="preserve"> = 0.02, </w:t>
      </w:r>
      <w:r w:rsidRPr="00A51941">
        <w:rPr>
          <w:rFonts w:ascii="Times New Roman" w:hAnsi="Times New Roman" w:cs="Times New Roman"/>
          <w:i/>
          <w:iCs/>
          <w:sz w:val="24"/>
          <w:szCs w:val="24"/>
        </w:rPr>
        <w:t>p</w:t>
      </w:r>
      <w:r w:rsidRPr="00A51941">
        <w:rPr>
          <w:rFonts w:ascii="Times New Roman" w:hAnsi="Times New Roman" w:cs="Times New Roman"/>
          <w:sz w:val="24"/>
          <w:szCs w:val="24"/>
        </w:rPr>
        <w:t xml:space="preserve"> = 0.89), or inconsistent discipline (</w:t>
      </w:r>
      <w:r w:rsidRPr="00A51941">
        <w:rPr>
          <w:rFonts w:ascii="Times New Roman" w:hAnsi="Times New Roman" w:cs="Times New Roman"/>
          <w:i/>
          <w:iCs/>
          <w:sz w:val="24"/>
          <w:szCs w:val="24"/>
        </w:rPr>
        <w:t>F</w:t>
      </w:r>
      <w:r w:rsidRPr="00A51941">
        <w:rPr>
          <w:rFonts w:ascii="Times New Roman" w:hAnsi="Times New Roman" w:cs="Times New Roman"/>
          <w:i/>
          <w:iCs/>
          <w:sz w:val="24"/>
          <w:szCs w:val="24"/>
          <w:vertAlign w:val="subscript"/>
        </w:rPr>
        <w:t>[1, 240]</w:t>
      </w:r>
      <w:r w:rsidRPr="00A51941">
        <w:rPr>
          <w:rFonts w:ascii="Times New Roman" w:hAnsi="Times New Roman" w:cs="Times New Roman"/>
          <w:sz w:val="24"/>
          <w:szCs w:val="24"/>
        </w:rPr>
        <w:t xml:space="preserve"> = 0.18, </w:t>
      </w:r>
      <w:r w:rsidRPr="00A51941">
        <w:rPr>
          <w:rFonts w:ascii="Times New Roman" w:hAnsi="Times New Roman" w:cs="Times New Roman"/>
          <w:i/>
          <w:iCs/>
          <w:sz w:val="24"/>
          <w:szCs w:val="24"/>
        </w:rPr>
        <w:t>p</w:t>
      </w:r>
      <w:r w:rsidRPr="00A51941">
        <w:rPr>
          <w:rFonts w:ascii="Times New Roman" w:hAnsi="Times New Roman" w:cs="Times New Roman"/>
          <w:sz w:val="24"/>
          <w:szCs w:val="24"/>
        </w:rPr>
        <w:t xml:space="preserve"> = 0.67). This suggests that there was no difference in general parenting behaviors for those in PAT+SPSHK group than for those in the PAT-AU group, and the added session did not adversely alter the efficacy of PAT nor did it increase efficacy.</w:t>
      </w:r>
    </w:p>
    <w:p w14:paraId="20E9FC20" w14:textId="77777777" w:rsidR="007D3D49" w:rsidRPr="00A51941" w:rsidRDefault="007D3D49" w:rsidP="007D3D49">
      <w:pPr>
        <w:spacing w:after="0" w:line="480" w:lineRule="auto"/>
        <w:jc w:val="center"/>
        <w:rPr>
          <w:rFonts w:ascii="Times New Roman" w:hAnsi="Times New Roman" w:cs="Times New Roman"/>
          <w:sz w:val="24"/>
          <w:szCs w:val="24"/>
        </w:rPr>
      </w:pPr>
      <w:r w:rsidRPr="00A51941">
        <w:rPr>
          <w:rFonts w:ascii="Times New Roman" w:hAnsi="Times New Roman" w:cs="Times New Roman"/>
          <w:b/>
          <w:sz w:val="24"/>
          <w:szCs w:val="24"/>
        </w:rPr>
        <w:t>Discussion</w:t>
      </w:r>
    </w:p>
    <w:p w14:paraId="4B7A1EE2" w14:textId="77777777" w:rsidR="007D3D49" w:rsidRPr="00A51941" w:rsidRDefault="007D3D49" w:rsidP="007D3D49">
      <w:pPr>
        <w:spacing w:after="0" w:line="480" w:lineRule="auto"/>
        <w:rPr>
          <w:rFonts w:ascii="Times New Roman" w:hAnsi="Times New Roman" w:cs="Times New Roman"/>
          <w:sz w:val="24"/>
          <w:szCs w:val="24"/>
        </w:rPr>
      </w:pPr>
      <w:r w:rsidRPr="00A51941">
        <w:rPr>
          <w:rFonts w:ascii="Times New Roman" w:hAnsi="Times New Roman" w:cs="Times New Roman"/>
          <w:sz w:val="24"/>
          <w:szCs w:val="24"/>
        </w:rPr>
        <w:tab/>
        <w:t xml:space="preserve">Given the recent uptick in national prevalence estimates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DOI":"10.1017/CBO9781107415324.004","ISBN":"9788578110796","ISSN":"1098-6596","PMID":"25246403","author":[{"dropping-particle":"","family":"Finkelhor","given":"David","non-dropping-particle":"","parse-names":false,"suffix":""},{"dropping-particle":"","family":"Saito","given":"Kei","non-dropping-particle":"","parse-names":false,"suffix":""},{"dropping-particle":"","family":"Jones","given":"Lisa","non-dropping-particle":"","parse-names":false,"suffix":""}],"id":"ITEM-1","issued":{"date-parts":[["2020"]]},"publisher-place":"Durham, NH","title":"Updated trends in Child Maltreatment, 2018","type":"report"},"uris":["http://www.mendeley.com/documents/?uuid=0bb111bd-eb74-4b52-b263-4961e3236a49"]}],"mendeley":{"formattedCitation":"(Finkelhor et al., 2020)","plainTextFormattedCitation":"(Finkelhor et al., 2020)","previouslyFormattedCitation":"(Finkelhor et al., 2020)"},"properties":{"noteIndex":0},"schema":"https://github.com/citation-style-language/schema/raw/master/csl-citation.json"}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(Finkelhor et al., 2020)</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and the high economic burden conferred by CSA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{"citationItems":[{"id":"ITEM-1","itemData":{"DOI":"10.1016/j.chiabu.2018.02.020","ISSN":"18737757","author":[{"dropping-particle":"","family":"Letourneau","given":"Elizabeth J.","non-dropping-particle":"","parse-names":false,"suffix":""},{"dropping-particle":"","family":"Brown","given":"Derek S.","non-dropping-particle":"","parse-names":false,"suffix":""},{"dropping-particle":"","family":"Fang","given":"Xiangming","non-dropping-particle":"","parse-names":false,"suffix":""},{"dropping-particle":"","family":"Hassan","given":"Ahmed","non-dropping-particle":"","parse-names":false,"suffix":""},{"dropping-particle":"","family":"Mercy","given":"James A.","non-dropping-particle":"","parse-names":false,"suffix":""}],"container-title":"Child Abuse &amp; Neglect","id":"ITEM-1","issued":{"date-parts":[["2018"]]},"page":"413-422","publisher":"Elsevier","title":"The economic burden of child sexual abuse in the United States","type":"article-journal","volume":"79"},"uris":["http://www.mendeley.com/documents/?uuid=18a114b5-6788-473e-931f-869c6c081aac"]}],"mendeley":{"formattedCitation":"(Letourneau et al., 2018)","plainTextFormattedCitation":"(Letourneau et al., 2018)","previouslyFormattedCitation":"(Letourneau et al., 2018)"},"properties":{"noteIndex":0},"schema":"https://github.com/citation-style-language/schema/raw/master/csl-citation.json"}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(Letourneau et al., 2018)</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there is a need for innovative primary prevention strategies. One way to maximize the public health impact is to target those at highest risk, a subgroup for whom a selective prevention strategy would be most efficacious and cost-effective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{"citationItems":[{"id":"ITEM-1","itemData":{"DOI":"10.1111/jcpp.13141","ISSN":"14697610","abstract":"This article proposes that universal and targeted preventive interventions should be compared and evaluated in terms of their benefit–cost ratio in achieving population-wide impact on mental disorders and related outcomes. Universal approaches attempt to affect every individual in a population, whereas targeted approaches select candidates for intervention based on screening of demographic or behavioral characteristics. Unique assets and challenges of each approach in achieving population impact in a cost-efficient way are discussed, along with spillover effects, sensitivity and specificity, developmental processes, timing of intervention, and the relation between severity of risk and plasticity. A general targeted-efficiency framework is proposed as a heuristic to evaluate the collective merits of universal and targeted approaches in specific cases. A tiered approach that combines universal and targeted identification strategies is proposed, and examples are described. Issues for high-priority research are identified.","author":[{"dropping-particle":"","family":"Dodge","given":"Kenneth A.","non-dropping-particle":"","parse-names":false,"suffix":""}],"container-title":"Journal of Child Psychology and Psychiatry","id":"ITEM-1","issue":"3","issued":{"date-parts":[["2020"]]},"page":"255-267","title":"Annual Research Review: Universal and targeted strategies for assigning interventions to achieve population impact","type":"article-journal","volume":"61"},"uris":["http://www.mendeley.com/documents/?uuid=7dedbe08-914c-442c-ac36-d9482e726408"]}],"mendeley":{"formattedCitation":"(Dodge, 2020)","plainTextFormattedCitation":"(Dodge, 2020)","previouslyFormattedCitation":"(Dodge, 2020)"},"properties":{"noteIndex":0},"schema":"https://github.com/citation-style-language/schema/raw/master/csl-citation.json"}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(Dodge, 2020)</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As risk for CSA is heighted by the need for parent-training and involvement with the child welfare system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{"citationItems":[{"id":"ITEM-1","itemData":{"DOI":"10.1016/j.chiabu.2011.03.004","ISSN":"01452134","abstract":"We examined (1) the prevalence of childhood sexual abuse (CSA) experiences as a function of cohort and gender, (2) the prevalence of factors associated with CSA as a function of cohort and whether the association of these factors with CSA remained the same irrespective of cohort, and (3) whether any cohort differences could be explainable by cohort differences in reporting bias. Method: We used the responses of 4,561 men (M= 29, SD= 7 years) and 8,361 female (M= 29, SD = 7 years) Finnish participants who responded to the Childhood Trauma Questionnaire-Short Form as well as questions regarding family structure. Results: The prevalence of CSA experiences varied between 0.7-4.6% for men and 1.8-7.5% for women depending on the item. Younger cohorts reported less CSA as well as less of the risk factors (physical neglect and abuse, emotional neglect and abuse, parental substances abuse, not growing up with both biological parents) that were positively associated with the likelihood of CSA. The effects of these risk factors did not vary as a function of the cohort. Also, the declining trend was not explainable by social desirability being higher in the younger cohorts. Conclusions: The results suggest that there is a real decline in the prevalence of CSA and it is associated with a simultaneous decline in factors associated with CSA. © 2011 Elsevier Ltd.","author":[{"dropping-particle":"","family":"Laaksonen","given":"Toni","non-dropping-particle":"","parse-names":false,"suffix":""},{"dropping-particle":"","family":"Sariola","given":"Heikki","non-dropping-particle":"","parse-names":false,"suffix":""},{"dropping-particle":"","family":"Johansson","given":"Ada","non-dropping-particle":"","parse-names":false,"suffix":""},{"dropping-particle":"","family":"Jern","given":"Patrick","non-dropping-particle":"","parse-names":false,"suffix":""},{"dropping-particle":"","family":"Varjonen","given":"Markus","non-dropping-particle":"","parse-names":false,"suffix":""},{"dropping-particle":"","family":"Pahlen","given":"Bettina","non-dropping-particle":"Von Der","parse-names":false,"suffix":""},{"dropping-particle":"","family":"Sandnabba","given":"N. Kenneth","non-dropping-particle":"","parse-names":false,"suffix":""},{"dropping-particle":"","family":"Santtila","given":"Pekka","non-dropping-particle":"","parse-names":false,"suffix":""}],"container-title":"Child Abuse and Neglect","id":"ITEM-1","issue":"7","issued":{"date-parts":[["2011"]]},"page":"480-490","publisher":"Elsevier Ltd","title":"Changes in the prevalence of child sexual abuse, its risk factors, and their associations as a function of age cohort in a Finnish population sample","type":"article-journal","volume":"35"},"uris":["http://www.mendeley.com/documents/?uuid=1d8868d4-2dd0-4dcc-b7a6-bb8f1c8e3b34"]},{"id":"ITEM-2","itemData":{"DOI":"10.1177/1077559519848489","ISSN":"15526119","abstract":"Child sexual abuse (CSA) is associated with a range of negative consequences for victims that are compounded when it recurs. We used the National Child Abuse and Neglect Data System to study a cohort of 42,036 children in 45 U.S. states with sexual abuse reports first confirmed by child protective services (CPS) during 2010 in order to identify children with increased risk for recurrence. A small proportion (3.6%) had a second confirmed sexual abuse report through 2015. In multivariate models, female gender, family hearing and vision problems, other child maltreatment, and other family violence were associated with increased risk of recurrence, while younger children, Hispanic families, and those with substance abuse tended to have less risk. One fourth of recurrence involved the same offender, usually a parent or caretaker. One fourth of cases were referred for any CPS services, which were more likely to be provided for families with poverty, drug or alcohol problems, or other violence. Only substance abuse services significantly reduced recurrence in multivariable models. Those trying to reduce CSA recurrence should recognize that certain case characteristics are associated with greater recurrence, and most CPS services do not significantly reduce CSA recurrence.","author":[{"dropping-particle":"","family":"Palusci","given":"Vincent J.","non-dropping-particle":"","parse-names":false,"suffix":""},{"dropping-particle":"","family":"Ilardi","given":"Marissa","non-dropping-particle":"","parse-names":false,"suffix":""}],"container-title":"Child Maltreatment","id":"ITEM-2","issue":"1","issued":{"date-parts":[["2020"]]},"page":"106-116","title":"Risk factors and services to reduce child sexual abuse recurrence","type":"article-journal","volume":"25"},"uris":["http://www.mendeley.com/documents/?uuid=7db53252-6684-4a33-aedc-2f37a82e94a9"]}],"mendeley":{"formattedCitation":"(Laaksonen et al., 2011; Palusci &amp; Ilardi, 2020)","plainTextFormattedCitation":"(Laaksonen et al., 2011; Palusci &amp; Ilardi, 2020)","previouslyFormattedCitation":"(Laaksonen et al., 2011; Palusci &amp; Ilardi, 2020)"},"properties":{"noteIndex":0},"schema":"https://github.com/citation-style-language/schema/raw/master/csl-citation.json"}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(Laaksonen et al., 2011; Palusci &amp; Ilardi, 2020)</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the child welfare system can provide the necessary screening mechanism for a selective parent-focused CSA prevention program. The parent training programs currently employed in these systems lack CSA-specific curriculum and thus have been insufficient to impact overall rates of </w:t>
      </w:r>
      <w:r w:rsidRPr="00A51941">
        <w:rPr>
          <w:rFonts w:ascii="Times New Roman" w:hAnsi="Times New Roman" w:cs="Times New Roman"/>
          <w:sz w:val="24"/>
          <w:szCs w:val="24"/>
        </w:rPr>
        <w:lastRenderedPageBreak/>
        <w:t xml:space="preserve">CSA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{"citationItems":[{"id":"ITEM-1","itemData":{"author":[{"dropping-particle":"","family":"Selph","given":"Shelley S.","non-dropping-particle":"","parse-names":false,"suffix":""},{"dropping-particle":"","family":"Bougatsos","given":"Christina","non-dropping-particle":"","parse-names":false,"suffix":""},{"dropping-particle":"","family":"Blazina","given":"Ian","non-dropping-particle":"","parse-names":false,"suffix":""},{"dropping-particle":"","family":"Nelson","given":"Heidi D","non-dropping-particle":"","parse-names":false,"suffix":""}],"container-title":"Annals of Internal Medicine","id":"ITEM-1","issue":"3","issued":{"date-parts":[["2013"]]},"page":"179-190","title":"Behavioral interventions and counseling to prevent child abuse and neglect: a systematic review to update the U.S. Preventive Task Force recommendation","type":"article-journal","volume":"158"},"uris":["http://www.mendeley.com/documents/?uuid=dbf1ff97-8616-4394-af10-e167e7b8d139"]}],"mendeley":{"formattedCitation":"(Selph et al., 2013)","manualFormatting":"(Selph, et. al., 2013)","plainTextFormattedCitation":"(Selph et al., 2013)","previouslyFormattedCitation":"(Selph et al., 2013)"},"properties":{"noteIndex":0},"schema":"https://github.com/citation-style-language/schema/raw/master/csl-citation.json"}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(Selph, et. al., 2013)</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SPSHK was designed to be added onto existing parent training programs delivered in the child welfare system in one additional session and to equip parents with the awareness and skills that can protect their children (and other children within their community) from CSA victimization. A primary prevention strategy, SPHSK could therefore be implemented to any parent receiving a parent-education program. Findings suggest that when added to PAT, an existing parent-education program delivered to skill-seeking parents involved in the child welfare system, in one session SPSHK significantly improved parents’ CSA-related awareness and increased use of protective behaviors compared to parents receiving PAT as usual. Gains in CSA-related awareness were evident in both groups, however the downtrend observed among the PAT-AU group at the one month follow-up suggests these gains may have been artifacts from PAT related to general awareness about child safety that were not maintained over time (Figure 2). The effect on protective behaviors is especially encouraging given the lack of behavioral outcomes in prior research. How these self-reported behaviors translate into actual calls to protective services and/or lowering CSA risk in home environments remains to be seen. Future research should be designed to test whether SPSHK operates as primary prevention by indeed changing behaviors that impact overall rates of CSA. </w:t>
      </w:r>
    </w:p>
    <w:p w14:paraId="26FF93FA" w14:textId="77777777" w:rsidR="007D3D49" w:rsidRPr="00A51941" w:rsidRDefault="007D3D49" w:rsidP="007D3D49">
      <w:pPr>
        <w:spacing w:after="0" w:line="480" w:lineRule="auto"/>
        <w:rPr>
          <w:rFonts w:ascii="Times New Roman" w:hAnsi="Times New Roman" w:cs="Times New Roman"/>
          <w:sz w:val="24"/>
          <w:szCs w:val="24"/>
        </w:rPr>
      </w:pPr>
      <w:r w:rsidRPr="00A51941">
        <w:rPr>
          <w:rFonts w:ascii="Times New Roman" w:hAnsi="Times New Roman" w:cs="Times New Roman"/>
          <w:sz w:val="24"/>
          <w:szCs w:val="24"/>
        </w:rPr>
        <w:tab/>
        <w:t xml:space="preserve">This first attempt to add a CSA-focused module onto existing evidence-based parent training has several strengths. First, SPSHK was designed as a selective prevention approach to be implemented through the child welfare system thereby reaching families in environments where the risk for CSA is heightened. Second, this approach capitalizes on existing infrastructure by including SPSHK in parent-education services within the child welfare system. Results demonstrate the added session did not alter the efficacy of PAT and that changes in awareness and protective behaviors can be accomplished in one additional session suggesting that a </w:t>
      </w:r>
      <w:r w:rsidRPr="00A51941">
        <w:rPr>
          <w:rFonts w:ascii="Times New Roman" w:hAnsi="Times New Roman" w:cs="Times New Roman"/>
          <w:sz w:val="24"/>
          <w:szCs w:val="24"/>
        </w:rPr>
        <w:lastRenderedPageBreak/>
        <w:t xml:space="preserve">standalone program may not be necessary. Because it can be added to existing evidence-based parent training, this approach also has the potential to enhance parental engagement—a persistent issue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DOI":"10.1007/s10826-018-1279-x","ISBN":"3826594797","ISSN":"10621024","author":[{"dropping-particle":"","family":"Guastaferro","given":"Kate","non-dropping-particle":"","parse-names":false,"suffix":""},{"dropping-particle":"","family":"Self-Brown","given":"Shannon","non-dropping-particle":"","parse-names":false,"suffix":""},{"dropping-particle":"","family":"Shanley","given":"Jenelle R.","non-dropping-particle":"","parse-names":false,"suffix":""},{"dropping-particle":"","family":"Whitaker","given":"Daniel J.","non-dropping-particle":"","parse-names":false,"suffix":""},{"dropping-particle":"","family":"Lutzker","given":"John R.","non-dropping-particle":"","parse-names":false,"suffix":""}],"container-title":"Journal of Child and Family Studies","id":"ITEM-1","issued":{"date-parts":[["2018"]]},"publisher":"Springer US","title":"Engagement in home visiting: An overview of the problem and how a coalition of researchers worked to address this cross-model concern","type":"article-journal"},"uris":["http://www.mendeley.com/documents/?uuid=3259690a-43cc-4ff3-82f8-417da4d55567"]}],"mendeley":{"formattedCitation":"(Guastaferro et al., 2018)","plainTextFormattedCitation":"(Guastaferro et al., 2018)","previouslyFormattedCitation":"(Guastaferro et al., 2018)"},"properties":{"noteIndex":0},"schema":"https://github.com/citation-style-language/schema/raw/master/csl-citation.json"}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(Guastaferro et al., 2018)</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This study was not without its limitations. First, parents were enrolled in this study did not necessarily have child welfare involvement as they were largely referred to PAT through community-level pipelines, including through schools, word of mouth, or voluntarily. As such, this sample was likely at lower risk than most parents who are receiving public services and may not be representative to the target SPSHK population. Although parents in the present sample did not endorse high rates of substance use, they did however report levels of depression and social support consistent with other child welfare samples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{"citationItems":[{"id":"ITEM-1","itemData":{"author":[{"dropping-particle":"","family":"Children's Bureau of the Administration on Chidlren and Families","given":"","non-dropping-particle":"","parse-names":false,"suffix":""}],"id":"ITEM-1","issued":{"date-parts":[["2005"]]},"title":"National Survey of Child and Adolescent Well-being (NSCAW): CPS sample component wave 1 data analysis report","type":"report"},"uris":["http://www.mendeley.com/documents/?uuid=7b2a690e-0504-4c90-aef9-103eecad8391"]},{"id":"ITEM-2","itemData":{"DOI":"10.1038/jid.2014.371","ISBN":"6176321972","ISSN":"15378276","PMID":"1000000221","author":[{"dropping-particle":"","family":"Ammerman","given":"Robert T.","non-dropping-particle":"","parse-names":false,"suffix":""},{"dropping-particle":"","family":"Putnam","given":"Frank W.","non-dropping-particle":"","parse-names":false,"suffix":""},{"dropping-particle":"","family":"Altaye","given":"Mekibib","non-dropping-particle":"","parse-names":false,"suffix":""},{"dropping-particle":"","family":"Teeters","given":"Angelique R.","non-dropping-particle":"","parse-names":false,"suffix":""},{"dropping-particle":"","family":"Stevens","given":"Jack","non-dropping-particle":"","parse-names":false,"suffix":""},{"dropping-particle":"","family":"Ginkel","given":"Judith B.","non-dropping-particle":"Van","parse-names":false,"suffix":""}],"container-title":"Child Abuse &amp; Neglect","id":"ITEM-2","issue":"8","issued":{"date-parts":[["2013"]]},"page":"544-554","title":"Treatment of depressed mothers in home visiting: Impact on psychological distress and social functioning","type":"article-journal","volume":"38"},"uris":["http://www.mendeley.com/documents/?uuid=b7bbd489-9479-4c15-8f80-cc5907d4501a"]}],"mendeley":{"formattedCitation":"(Ammerman et al., 2013; Children’s Bureau of the Administration on Chidlren and Families, 2005)","manualFormatting":"(Ammerman et al., 2013; Children’s Bureau, 2005)","plainTextFormattedCitation":"(Ammerman et al., 2013; Children’s Bureau of the Administration on Chidlren and Families, 2005)","previouslyFormattedCitation":"(Ammerman et al., 2013; Children’s Bureau of the Administration on Chidlren and Families, 2005)"},"properties":{"noteIndex":0},"schema":"https://github.com/citation-style-language/schema/raw/master/csl-citation.json"}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(Ammerman et al., 2013; Children’s Bureau, 2005)</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Nonetheless, future permutations of SPSHK should be derived on child-welfare referred parents. Second, given that SPSHK was added to a home-visiting based parenting program delivered to individuals, it is unknown how these findings might generalize to other programs, particularly those delivered through other modalities (e.g., group-based administration via programs akin to Incredible Years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author":[{"dropping-particle":"","family":"Reid","given":"Jamila","non-dropping-particle":"","parse-names":false,"suffix":""},{"dropping-particle":"","family":"Webster-Stratton","given":"Carolyn","non-dropping-particle":"","parse-names":false,"suffix":""}],"container-title":"Cognitive and Behavioral Practice","id":"ITEM-1","issue":"4","issued":{"date-parts":[["2001"]]},"page":"377-386","title":"The Incredible Years parent, teacher, and child intervention: Targeting multiple areas of risk for a young child with pervasive conduct problems using a flexible, manualized treatment program","type":"article-journal","volume":"8"},"uris":["http://www.mendeley.com/documents/?uuid=9a3d875b-e87c-44f0-9a69-07a813d38ef1"]}],"mendeley":{"formattedCitation":"(Reid &amp; Webster-Stratton, 2001)","plainTextFormattedCitation":"(Reid &amp; Webster-Stratton, 2001)","previouslyFormattedCitation":"(Reid &amp; Webster-Stratton, 2001)"},"properties":{"noteIndex":0},"schema":"https://github.com/citation-style-language/schema/raw/master/csl-citation.json"}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(Reid &amp; Webster-Stratton, 2001)</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Finally, gains in awareness and protective behaviors reported in this study were only observed at one-month post-intervention and it is unclear whether long-term gains might be sustained. Longer-term follow-up studies of the addition of SPSHK to parenting programs delivered through child protective service systems is warranted. Delivered through child protective service system involvement, it may be possible to ascertain the impact of SPSHK on actionable behaviors that can impact rates of CSA. It is important to consider that teaching parents CSA-related awareness and protective behavior will have an impact on children beyond their immediate family. Thus, future research should not only examine administrative </w:t>
      </w:r>
      <w:r w:rsidRPr="00A51941">
        <w:rPr>
          <w:rFonts w:ascii="Times New Roman" w:hAnsi="Times New Roman" w:cs="Times New Roman"/>
          <w:sz w:val="24"/>
          <w:szCs w:val="24"/>
        </w:rPr>
        <w:lastRenderedPageBreak/>
        <w:t xml:space="preserve">records of CSA, but include a more comprehensive self-report of behaviors, perhaps incorporating vignettes or role-play scenarios. </w:t>
      </w:r>
    </w:p>
    <w:p w14:paraId="35DCA96D" w14:textId="77777777" w:rsidR="007D3D49" w:rsidRPr="00A51941" w:rsidRDefault="007D3D49" w:rsidP="007D3D49">
      <w:pPr>
        <w:spacing w:after="0" w:line="480" w:lineRule="auto"/>
        <w:ind w:firstLine="720"/>
        <w:rPr>
          <w:rFonts w:ascii="Times New Roman" w:hAnsi="Times New Roman" w:cs="Times New Roman"/>
          <w:sz w:val="24"/>
          <w:szCs w:val="24"/>
        </w:rPr>
      </w:pPr>
      <w:r w:rsidRPr="00A51941">
        <w:rPr>
          <w:rFonts w:ascii="Times New Roman" w:hAnsi="Times New Roman" w:cs="Times New Roman"/>
          <w:sz w:val="24"/>
          <w:szCs w:val="24"/>
        </w:rPr>
        <w:t xml:space="preserve">While selective prevention efforts are most cost-effective </w:t>
      </w: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ADDIN CSL_CITATION {"citationItems":[{"id":"ITEM-1","itemData":{"DOI":"10.1111/jcpp.13141","ISSN":"14697610","abstract":"This article proposes that universal and targeted preventive interventions should be compared and evaluated in terms of their benefit–cost ratio in achieving population-wide impact on mental disorders and related outcomes. Universal approaches attempt to affect every individual in a population, whereas targeted approaches select candidates for intervention based on screening of demographic or behavioral characteristics. Unique assets and challenges of each approach in achieving population impact in a cost-efficient way are discussed, along with spillover effects, sensitivity and specificity, developmental processes, timing of intervention, and the relation between severity of risk and plasticity. A general targeted-efficiency framework is proposed as a heuristic to evaluate the collective merits of universal and targeted approaches in specific cases. A tiered approach that combines universal and targeted identification strategies is proposed, and examples are described. Issues for high-priority research are identified.","author":[{"dropping-particle":"","family":"Dodge","given":"Kenneth A.","non-dropping-particle":"","parse-names":false,"suffix":""}],"container-title":"Journal of Child Psychology and Psychiatry","id":"ITEM-1","issue":"3","issued":{"date-parts":[["2020"]]},"page":"255-267","title":"Annual Research Review: Universal and targeted strategies for assigning interventions to achieve population impact","type":"article-journal","volume":"61"},"uris":["http://www.mendeley.com/documents/?uuid=7dedbe08-914c-442c-ac36-d9482e726408"]}],"mendeley":{"formattedCitation":"(Dodge, 2020)","plainTextFormattedCitation":"(Dodge, 2020)","previouslyFormattedCitation":"(Dodge, 2020)"},"properties":{"noteIndex":0},"schema":"https://github.com/citation-style-language/schema/raw/master/csl-citation.json"}</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(Dodge, 2020)</w:t>
      </w:r>
      <w:r w:rsidRPr="00A51941">
        <w:rPr>
          <w:rFonts w:ascii="Times New Roman" w:hAnsi="Times New Roman" w:cs="Times New Roman"/>
          <w:sz w:val="24"/>
          <w:szCs w:val="24"/>
        </w:rPr>
        <w:fldChar w:fldCharType="end"/>
      </w:r>
      <w:r w:rsidRPr="00A51941">
        <w:rPr>
          <w:rFonts w:ascii="Times New Roman" w:hAnsi="Times New Roman" w:cs="Times New Roman"/>
          <w:sz w:val="24"/>
          <w:szCs w:val="24"/>
        </w:rPr>
        <w:t xml:space="preserve">, they bear the cost of screening which can limit the feasibility of these approaches. By implementing SPSHK into the service array of the child welfare system, the barrier of screening is essentially moot, thus heightening the feasibility and sustainability of this selective prevention approach. Sustainability is further enhanced by U.S. federal legislation, such as the Stronger Child Abuse Prevention and Treatment Act and the Family First Preservation Services Act, in which the use of evidence-based programs is required among child welfare systems. The finding that the added session of SPSHK did not alter the efficacy of the evidence-based parent training programs, suggests that it may be possible to consider the addition of SPSHK to programs that are covered under this federal legislation. </w:t>
      </w:r>
      <w:r w:rsidRPr="00A51941">
        <w:rPr>
          <w:rFonts w:ascii="Times New Roman" w:hAnsi="Times New Roman" w:cs="Times New Roman"/>
          <w:iCs/>
          <w:sz w:val="24"/>
          <w:szCs w:val="24"/>
        </w:rPr>
        <w:t>SPSHK</w:t>
      </w:r>
      <w:r w:rsidRPr="00A51941">
        <w:rPr>
          <w:rFonts w:ascii="Times New Roman" w:hAnsi="Times New Roman" w:cs="Times New Roman"/>
          <w:sz w:val="24"/>
          <w:szCs w:val="24"/>
        </w:rPr>
        <w:t xml:space="preserve"> is an innovative, unique parent-focused CSA primary prevention strategy with promising results. Capitalizing on legislation and existing infrastructure offer a unique, cost-effective approach to the primary prevention of CSA.</w:t>
      </w:r>
      <w:r w:rsidRPr="00A51941">
        <w:rPr>
          <w:rFonts w:ascii="Times New Roman" w:hAnsi="Times New Roman" w:cs="Times New Roman"/>
          <w:b/>
          <w:sz w:val="24"/>
          <w:szCs w:val="24"/>
        </w:rPr>
        <w:br w:type="page"/>
      </w:r>
    </w:p>
    <w:p w14:paraId="6D5C78A3" w14:textId="77777777" w:rsidR="007D3D49" w:rsidRPr="00A51941" w:rsidRDefault="007D3D49" w:rsidP="007D3D49">
      <w:pPr>
        <w:widowControl w:val="0"/>
        <w:autoSpaceDE w:val="0"/>
        <w:autoSpaceDN w:val="0"/>
        <w:adjustRightInd w:val="0"/>
        <w:spacing w:after="0" w:line="480" w:lineRule="auto"/>
        <w:ind w:left="480" w:hanging="480"/>
        <w:jc w:val="center"/>
        <w:rPr>
          <w:rFonts w:ascii="Times New Roman" w:hAnsi="Times New Roman" w:cs="Times New Roman"/>
          <w:b/>
          <w:sz w:val="24"/>
          <w:szCs w:val="24"/>
        </w:rPr>
      </w:pPr>
      <w:r w:rsidRPr="00A51941">
        <w:rPr>
          <w:rFonts w:ascii="Times New Roman" w:hAnsi="Times New Roman" w:cs="Times New Roman"/>
          <w:b/>
          <w:sz w:val="24"/>
          <w:szCs w:val="24"/>
        </w:rPr>
        <w:lastRenderedPageBreak/>
        <w:t>References</w:t>
      </w:r>
    </w:p>
    <w:p w14:paraId="0F8CEE58"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sz w:val="24"/>
          <w:szCs w:val="24"/>
        </w:rPr>
        <w:fldChar w:fldCharType="begin" w:fldLock="1"/>
      </w:r>
      <w:r w:rsidRPr="00A51941">
        <w:rPr>
          <w:rFonts w:ascii="Times New Roman" w:hAnsi="Times New Roman" w:cs="Times New Roman"/>
          <w:sz w:val="24"/>
          <w:szCs w:val="24"/>
        </w:rPr>
        <w:instrText xml:space="preserve">ADDIN Mendeley Bibliography CSL_BIBLIOGRAPHY </w:instrText>
      </w:r>
      <w:r w:rsidRPr="00A51941">
        <w:rPr>
          <w:rFonts w:ascii="Times New Roman" w:hAnsi="Times New Roman" w:cs="Times New Roman"/>
          <w:sz w:val="24"/>
          <w:szCs w:val="24"/>
        </w:rPr>
        <w:fldChar w:fldCharType="separate"/>
      </w:r>
      <w:r w:rsidRPr="00A51941">
        <w:rPr>
          <w:rFonts w:ascii="Times New Roman" w:hAnsi="Times New Roman" w:cs="Times New Roman"/>
          <w:noProof/>
          <w:sz w:val="24"/>
          <w:szCs w:val="24"/>
        </w:rPr>
        <w:t xml:space="preserve">Ammerman, R. T., Putnam, F. W., Altaye, M., Teeters, A. R., Stevens, J., &amp; Van Ginkel, J. B. (2013). Treatment of depressed mothers in home visiting: Impact on psychological distress and social functioning. </w:t>
      </w:r>
      <w:r w:rsidRPr="00A51941">
        <w:rPr>
          <w:rFonts w:ascii="Times New Roman" w:hAnsi="Times New Roman" w:cs="Times New Roman"/>
          <w:i/>
          <w:iCs/>
          <w:noProof/>
          <w:sz w:val="24"/>
          <w:szCs w:val="24"/>
        </w:rPr>
        <w:t>Child Abuse &amp; Neglect</w:t>
      </w:r>
      <w:r w:rsidRPr="00A51941">
        <w:rPr>
          <w:rFonts w:ascii="Times New Roman" w:hAnsi="Times New Roman" w:cs="Times New Roman"/>
          <w:noProof/>
          <w:sz w:val="24"/>
          <w:szCs w:val="24"/>
        </w:rPr>
        <w:t xml:space="preserve">, </w:t>
      </w:r>
      <w:r w:rsidRPr="00A51941">
        <w:rPr>
          <w:rFonts w:ascii="Times New Roman" w:hAnsi="Times New Roman" w:cs="Times New Roman"/>
          <w:i/>
          <w:iCs/>
          <w:noProof/>
          <w:sz w:val="24"/>
          <w:szCs w:val="24"/>
        </w:rPr>
        <w:t>38</w:t>
      </w:r>
      <w:r w:rsidRPr="00A51941">
        <w:rPr>
          <w:rFonts w:ascii="Times New Roman" w:hAnsi="Times New Roman" w:cs="Times New Roman"/>
          <w:noProof/>
          <w:sz w:val="24"/>
          <w:szCs w:val="24"/>
        </w:rPr>
        <w:t>(8), 544–554. https://doi.org/10.1038/jid.2014.371</w:t>
      </w:r>
    </w:p>
    <w:p w14:paraId="2CA05374"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Assink, M., van der Put, C. E., Meeuwsen, M. W. C. M., Jong, N. M. De, Oort, F. J., Stams, G. J. J. M., &amp; Hoeve, M. (2019). Risk factors for child sexual abuse victimization: A meta-analytic review. </w:t>
      </w:r>
      <w:r w:rsidRPr="00A51941">
        <w:rPr>
          <w:rFonts w:ascii="Times New Roman" w:hAnsi="Times New Roman" w:cs="Times New Roman"/>
          <w:i/>
          <w:iCs/>
          <w:noProof/>
          <w:sz w:val="24"/>
          <w:szCs w:val="24"/>
        </w:rPr>
        <w:t>Psychological Bulletin</w:t>
      </w:r>
      <w:r w:rsidRPr="00A51941">
        <w:rPr>
          <w:rFonts w:ascii="Times New Roman" w:hAnsi="Times New Roman" w:cs="Times New Roman"/>
          <w:noProof/>
          <w:sz w:val="24"/>
          <w:szCs w:val="24"/>
        </w:rPr>
        <w:t>, Advanced online publication.</w:t>
      </w:r>
    </w:p>
    <w:p w14:paraId="1DAE466F"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Barnes, J. E., Noll, J. G., Putnam, F. W., &amp; Trickett, P. K. (2009). Sexual and physical revictimization among victims of severe childhood sexual abuse. </w:t>
      </w:r>
      <w:r w:rsidRPr="00A51941">
        <w:rPr>
          <w:rFonts w:ascii="Times New Roman" w:hAnsi="Times New Roman" w:cs="Times New Roman"/>
          <w:i/>
          <w:iCs/>
          <w:noProof/>
          <w:sz w:val="24"/>
          <w:szCs w:val="24"/>
        </w:rPr>
        <w:t>Child Abuse and Neglect</w:t>
      </w:r>
      <w:r w:rsidRPr="00A51941">
        <w:rPr>
          <w:rFonts w:ascii="Times New Roman" w:hAnsi="Times New Roman" w:cs="Times New Roman"/>
          <w:noProof/>
          <w:sz w:val="24"/>
          <w:szCs w:val="24"/>
        </w:rPr>
        <w:t xml:space="preserve">, </w:t>
      </w:r>
      <w:r w:rsidRPr="00A51941">
        <w:rPr>
          <w:rFonts w:ascii="Times New Roman" w:hAnsi="Times New Roman" w:cs="Times New Roman"/>
          <w:i/>
          <w:iCs/>
          <w:noProof/>
          <w:sz w:val="24"/>
          <w:szCs w:val="24"/>
        </w:rPr>
        <w:t>33</w:t>
      </w:r>
      <w:r w:rsidRPr="00A51941">
        <w:rPr>
          <w:rFonts w:ascii="Times New Roman" w:hAnsi="Times New Roman" w:cs="Times New Roman"/>
          <w:noProof/>
          <w:sz w:val="24"/>
          <w:szCs w:val="24"/>
        </w:rPr>
        <w:t>(7), 412–420. https://doi.org/10.1016/j.chiabu.2008.09.013</w:t>
      </w:r>
    </w:p>
    <w:p w14:paraId="41D0DA21"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Bartlett, J. D., Kotake, C., Fauth, R., &amp; Easterbrooks, M. A. (2017). Intergenerational transmission of child abuse and neglect: Do maltreatment type, perpetrator, and substantiation status matter? </w:t>
      </w:r>
      <w:r w:rsidRPr="00A51941">
        <w:rPr>
          <w:rFonts w:ascii="Times New Roman" w:hAnsi="Times New Roman" w:cs="Times New Roman"/>
          <w:i/>
          <w:iCs/>
          <w:noProof/>
          <w:sz w:val="24"/>
          <w:szCs w:val="24"/>
        </w:rPr>
        <w:t>Child Abuse and Neglect</w:t>
      </w:r>
      <w:r w:rsidRPr="00A51941">
        <w:rPr>
          <w:rFonts w:ascii="Times New Roman" w:hAnsi="Times New Roman" w:cs="Times New Roman"/>
          <w:noProof/>
          <w:sz w:val="24"/>
          <w:szCs w:val="24"/>
        </w:rPr>
        <w:t xml:space="preserve">, </w:t>
      </w:r>
      <w:r w:rsidRPr="00A51941">
        <w:rPr>
          <w:rFonts w:ascii="Times New Roman" w:hAnsi="Times New Roman" w:cs="Times New Roman"/>
          <w:i/>
          <w:iCs/>
          <w:noProof/>
          <w:sz w:val="24"/>
          <w:szCs w:val="24"/>
        </w:rPr>
        <w:t>63</w:t>
      </w:r>
      <w:r w:rsidRPr="00A51941">
        <w:rPr>
          <w:rFonts w:ascii="Times New Roman" w:hAnsi="Times New Roman" w:cs="Times New Roman"/>
          <w:noProof/>
          <w:sz w:val="24"/>
          <w:szCs w:val="24"/>
        </w:rPr>
        <w:t>, 84–94. https://doi.org/10.1016/j.chiabu.2016.11.021</w:t>
      </w:r>
    </w:p>
    <w:p w14:paraId="044CFA9C"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Bebbington, P. E., Cooper, C., Minot, S., Brugha, T. S., Jenkins, R., Meltzer, H., &amp; Dennis, M. (2009). Suicide attempts, gender, and sexual abuse: Data from the 2000 British psychiatric morbidity survey. </w:t>
      </w:r>
      <w:r w:rsidRPr="00A51941">
        <w:rPr>
          <w:rFonts w:ascii="Times New Roman" w:hAnsi="Times New Roman" w:cs="Times New Roman"/>
          <w:i/>
          <w:iCs/>
          <w:noProof/>
          <w:sz w:val="24"/>
          <w:szCs w:val="24"/>
        </w:rPr>
        <w:t>American Journal of Psychiatry</w:t>
      </w:r>
      <w:r w:rsidRPr="00A51941">
        <w:rPr>
          <w:rFonts w:ascii="Times New Roman" w:hAnsi="Times New Roman" w:cs="Times New Roman"/>
          <w:noProof/>
          <w:sz w:val="24"/>
          <w:szCs w:val="24"/>
        </w:rPr>
        <w:t xml:space="preserve">, </w:t>
      </w:r>
      <w:r w:rsidRPr="00A51941">
        <w:rPr>
          <w:rFonts w:ascii="Times New Roman" w:hAnsi="Times New Roman" w:cs="Times New Roman"/>
          <w:i/>
          <w:iCs/>
          <w:noProof/>
          <w:sz w:val="24"/>
          <w:szCs w:val="24"/>
        </w:rPr>
        <w:t>166</w:t>
      </w:r>
      <w:r w:rsidRPr="00A51941">
        <w:rPr>
          <w:rFonts w:ascii="Times New Roman" w:hAnsi="Times New Roman" w:cs="Times New Roman"/>
          <w:noProof/>
          <w:sz w:val="24"/>
          <w:szCs w:val="24"/>
        </w:rPr>
        <w:t>(10), 1135–1140. https://doi.org/10.1176/appi.ajp.2009.09030310</w:t>
      </w:r>
    </w:p>
    <w:p w14:paraId="1836E540"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Berrick, J. D. (1988). Parental involvement in child abuse prevention training: What do they learn? </w:t>
      </w:r>
      <w:r w:rsidRPr="00A51941">
        <w:rPr>
          <w:rFonts w:ascii="Times New Roman" w:hAnsi="Times New Roman" w:cs="Times New Roman"/>
          <w:i/>
          <w:iCs/>
          <w:noProof/>
          <w:sz w:val="24"/>
          <w:szCs w:val="24"/>
        </w:rPr>
        <w:t>Child Abuse Negl</w:t>
      </w:r>
      <w:r w:rsidRPr="00A51941">
        <w:rPr>
          <w:rFonts w:ascii="Times New Roman" w:hAnsi="Times New Roman" w:cs="Times New Roman"/>
          <w:noProof/>
          <w:sz w:val="24"/>
          <w:szCs w:val="24"/>
        </w:rPr>
        <w:t xml:space="preserve">, </w:t>
      </w:r>
      <w:r w:rsidRPr="00A51941">
        <w:rPr>
          <w:rFonts w:ascii="Times New Roman" w:hAnsi="Times New Roman" w:cs="Times New Roman"/>
          <w:i/>
          <w:iCs/>
          <w:noProof/>
          <w:sz w:val="24"/>
          <w:szCs w:val="24"/>
        </w:rPr>
        <w:t>12</w:t>
      </w:r>
      <w:r w:rsidRPr="00A51941">
        <w:rPr>
          <w:rFonts w:ascii="Times New Roman" w:hAnsi="Times New Roman" w:cs="Times New Roman"/>
          <w:noProof/>
          <w:sz w:val="24"/>
          <w:szCs w:val="24"/>
        </w:rPr>
        <w:t>(4), 543–553.</w:t>
      </w:r>
    </w:p>
    <w:p w14:paraId="0D059308"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Bröning, S., Kumpfer, K., Kruse, K., Sack, P. M., Schaunig-Busch, I., Ruths, S., … Thomasius, R. (2012). Selective prevention programs for children from substance-affected families: A </w:t>
      </w:r>
      <w:r w:rsidRPr="00A51941">
        <w:rPr>
          <w:rFonts w:ascii="Times New Roman" w:hAnsi="Times New Roman" w:cs="Times New Roman"/>
          <w:noProof/>
          <w:sz w:val="24"/>
          <w:szCs w:val="24"/>
        </w:rPr>
        <w:lastRenderedPageBreak/>
        <w:t xml:space="preserve">comprehensive systematic review. </w:t>
      </w:r>
      <w:r w:rsidRPr="00A51941">
        <w:rPr>
          <w:rFonts w:ascii="Times New Roman" w:hAnsi="Times New Roman" w:cs="Times New Roman"/>
          <w:i/>
          <w:iCs/>
          <w:noProof/>
          <w:sz w:val="24"/>
          <w:szCs w:val="24"/>
        </w:rPr>
        <w:t>Substance Abuse: Treatment, Prevention, and Policy</w:t>
      </w:r>
      <w:r w:rsidRPr="00A51941">
        <w:rPr>
          <w:rFonts w:ascii="Times New Roman" w:hAnsi="Times New Roman" w:cs="Times New Roman"/>
          <w:noProof/>
          <w:sz w:val="24"/>
          <w:szCs w:val="24"/>
        </w:rPr>
        <w:t xml:space="preserve">, </w:t>
      </w:r>
      <w:r w:rsidRPr="00A51941">
        <w:rPr>
          <w:rFonts w:ascii="Times New Roman" w:hAnsi="Times New Roman" w:cs="Times New Roman"/>
          <w:i/>
          <w:iCs/>
          <w:noProof/>
          <w:sz w:val="24"/>
          <w:szCs w:val="24"/>
        </w:rPr>
        <w:t>7</w:t>
      </w:r>
      <w:r w:rsidRPr="00A51941">
        <w:rPr>
          <w:rFonts w:ascii="Times New Roman" w:hAnsi="Times New Roman" w:cs="Times New Roman"/>
          <w:noProof/>
          <w:sz w:val="24"/>
          <w:szCs w:val="24"/>
        </w:rPr>
        <w:t>(23), 1–17. https://doi.org/10.1186/1747-597X-7-23</w:t>
      </w:r>
    </w:p>
    <w:p w14:paraId="29E65806"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Burgess, E. S., &amp; Wurtele, S. K. (1998). Enhancing parent-child communication about sexual abuse: a pilot study. </w:t>
      </w:r>
      <w:r w:rsidRPr="00A51941">
        <w:rPr>
          <w:rFonts w:ascii="Times New Roman" w:hAnsi="Times New Roman" w:cs="Times New Roman"/>
          <w:i/>
          <w:iCs/>
          <w:noProof/>
          <w:sz w:val="24"/>
          <w:szCs w:val="24"/>
        </w:rPr>
        <w:t>Child Abuse &amp; Neglect</w:t>
      </w:r>
      <w:r w:rsidRPr="00A51941">
        <w:rPr>
          <w:rFonts w:ascii="Times New Roman" w:hAnsi="Times New Roman" w:cs="Times New Roman"/>
          <w:noProof/>
          <w:sz w:val="24"/>
          <w:szCs w:val="24"/>
        </w:rPr>
        <w:t xml:space="preserve">, </w:t>
      </w:r>
      <w:r w:rsidRPr="00A51941">
        <w:rPr>
          <w:rFonts w:ascii="Times New Roman" w:hAnsi="Times New Roman" w:cs="Times New Roman"/>
          <w:i/>
          <w:iCs/>
          <w:noProof/>
          <w:sz w:val="24"/>
          <w:szCs w:val="24"/>
        </w:rPr>
        <w:t>22</w:t>
      </w:r>
      <w:r w:rsidRPr="00A51941">
        <w:rPr>
          <w:rFonts w:ascii="Times New Roman" w:hAnsi="Times New Roman" w:cs="Times New Roman"/>
          <w:noProof/>
          <w:sz w:val="24"/>
          <w:szCs w:val="24"/>
        </w:rPr>
        <w:t>(11), 1167–1175. https://doi.org/10.1016/S0145-2134(98)00094-5</w:t>
      </w:r>
    </w:p>
    <w:p w14:paraId="04CBA7EA"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Chaffin, M. J., Hecht, D., Bard, D., Silovsky, J. F., &amp; Beasley, W. H. (2012). A statewide trial of the SafeCare home-based services model with parents in Child Protective Services. </w:t>
      </w:r>
      <w:r w:rsidRPr="00A51941">
        <w:rPr>
          <w:rFonts w:ascii="Times New Roman" w:hAnsi="Times New Roman" w:cs="Times New Roman"/>
          <w:i/>
          <w:iCs/>
          <w:noProof/>
          <w:sz w:val="24"/>
          <w:szCs w:val="24"/>
        </w:rPr>
        <w:t>Pediatrics</w:t>
      </w:r>
      <w:r w:rsidRPr="00A51941">
        <w:rPr>
          <w:rFonts w:ascii="Times New Roman" w:hAnsi="Times New Roman" w:cs="Times New Roman"/>
          <w:noProof/>
          <w:sz w:val="24"/>
          <w:szCs w:val="24"/>
        </w:rPr>
        <w:t xml:space="preserve">, </w:t>
      </w:r>
      <w:r w:rsidRPr="00A51941">
        <w:rPr>
          <w:rFonts w:ascii="Times New Roman" w:hAnsi="Times New Roman" w:cs="Times New Roman"/>
          <w:i/>
          <w:iCs/>
          <w:noProof/>
          <w:sz w:val="24"/>
          <w:szCs w:val="24"/>
        </w:rPr>
        <w:t>129</w:t>
      </w:r>
      <w:r w:rsidRPr="00A51941">
        <w:rPr>
          <w:rFonts w:ascii="Times New Roman" w:hAnsi="Times New Roman" w:cs="Times New Roman"/>
          <w:noProof/>
          <w:sz w:val="24"/>
          <w:szCs w:val="24"/>
        </w:rPr>
        <w:t>(3), 509–515. https://doi.org/peds.2011-1840 [pii] 10.1542/peds.2011-1840</w:t>
      </w:r>
    </w:p>
    <w:p w14:paraId="13F5654C"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Children’s Bureau of the Administration on Chidlren and Families. (2005). </w:t>
      </w:r>
      <w:r w:rsidRPr="00A51941">
        <w:rPr>
          <w:rFonts w:ascii="Times New Roman" w:hAnsi="Times New Roman" w:cs="Times New Roman"/>
          <w:i/>
          <w:iCs/>
          <w:noProof/>
          <w:sz w:val="24"/>
          <w:szCs w:val="24"/>
        </w:rPr>
        <w:t>National Survey of Child and Adolescent Well-being (NSCAW): CPS sample component wave 1 data analysis report</w:t>
      </w:r>
      <w:r w:rsidRPr="00A51941">
        <w:rPr>
          <w:rFonts w:ascii="Times New Roman" w:hAnsi="Times New Roman" w:cs="Times New Roman"/>
          <w:noProof/>
          <w:sz w:val="24"/>
          <w:szCs w:val="24"/>
        </w:rPr>
        <w:t>. Retrieved from http://www.acf.hhs.gov/programs/opre/abuse_neglect/nscaw/reports/cps_sample/cps_report_revised_090105.pdf.</w:t>
      </w:r>
    </w:p>
    <w:p w14:paraId="483BCB4F"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Cohen, S., Mermelstein, R. J., Kamarck, T., &amp; Hoberman, H. M. (1985). Measuring the functional components of social support. In I. G. Sarason &amp; B. R. Sarason (Eds.), </w:t>
      </w:r>
      <w:r w:rsidRPr="00A51941">
        <w:rPr>
          <w:rFonts w:ascii="Times New Roman" w:hAnsi="Times New Roman" w:cs="Times New Roman"/>
          <w:i/>
          <w:iCs/>
          <w:noProof/>
          <w:sz w:val="24"/>
          <w:szCs w:val="24"/>
        </w:rPr>
        <w:t>Social support: theory, research, and applications</w:t>
      </w:r>
      <w:r w:rsidRPr="00A51941">
        <w:rPr>
          <w:rFonts w:ascii="Times New Roman" w:hAnsi="Times New Roman" w:cs="Times New Roman"/>
          <w:noProof/>
          <w:sz w:val="24"/>
          <w:szCs w:val="24"/>
        </w:rPr>
        <w:t xml:space="preserve"> (pp. 73–94). The Hague, Holland: Martinus Nijhoff.</w:t>
      </w:r>
    </w:p>
    <w:p w14:paraId="38F3601B"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Daigneault, I., Vézina-gagnon, P., Bourgeois, C., Esposito, T., &amp; Hébert, M. (2017). Physical and mental health of children with substantiated sexual abuse: Gender comparisons from a matched-control cohort study. </w:t>
      </w:r>
      <w:r w:rsidRPr="00A51941">
        <w:rPr>
          <w:rFonts w:ascii="Times New Roman" w:hAnsi="Times New Roman" w:cs="Times New Roman"/>
          <w:i/>
          <w:iCs/>
          <w:noProof/>
          <w:sz w:val="24"/>
          <w:szCs w:val="24"/>
        </w:rPr>
        <w:t>Child Abuse &amp; Neglect</w:t>
      </w:r>
      <w:r w:rsidRPr="00A51941">
        <w:rPr>
          <w:rFonts w:ascii="Times New Roman" w:hAnsi="Times New Roman" w:cs="Times New Roman"/>
          <w:noProof/>
          <w:sz w:val="24"/>
          <w:szCs w:val="24"/>
        </w:rPr>
        <w:t xml:space="preserve">, </w:t>
      </w:r>
      <w:r w:rsidRPr="00A51941">
        <w:rPr>
          <w:rFonts w:ascii="Times New Roman" w:hAnsi="Times New Roman" w:cs="Times New Roman"/>
          <w:i/>
          <w:iCs/>
          <w:noProof/>
          <w:sz w:val="24"/>
          <w:szCs w:val="24"/>
        </w:rPr>
        <w:t>66</w:t>
      </w:r>
      <w:r w:rsidRPr="00A51941">
        <w:rPr>
          <w:rFonts w:ascii="Times New Roman" w:hAnsi="Times New Roman" w:cs="Times New Roman"/>
          <w:noProof/>
          <w:sz w:val="24"/>
          <w:szCs w:val="24"/>
        </w:rPr>
        <w:t>, 155–165. https://doi.org/10.1016/j.chiabu.2017.02.038</w:t>
      </w:r>
    </w:p>
    <w:p w14:paraId="6BBAAD72"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Davies, E. A., &amp; Jones, A. C. (2013). Risk factors in child sexual abuse. </w:t>
      </w:r>
      <w:r w:rsidRPr="00A51941">
        <w:rPr>
          <w:rFonts w:ascii="Times New Roman" w:hAnsi="Times New Roman" w:cs="Times New Roman"/>
          <w:i/>
          <w:iCs/>
          <w:noProof/>
          <w:sz w:val="24"/>
          <w:szCs w:val="24"/>
        </w:rPr>
        <w:t>Journal of Forensic and Legal Medicine</w:t>
      </w:r>
      <w:r w:rsidRPr="00A51941">
        <w:rPr>
          <w:rFonts w:ascii="Times New Roman" w:hAnsi="Times New Roman" w:cs="Times New Roman"/>
          <w:noProof/>
          <w:sz w:val="24"/>
          <w:szCs w:val="24"/>
        </w:rPr>
        <w:t xml:space="preserve">, </w:t>
      </w:r>
      <w:r w:rsidRPr="00A51941">
        <w:rPr>
          <w:rFonts w:ascii="Times New Roman" w:hAnsi="Times New Roman" w:cs="Times New Roman"/>
          <w:i/>
          <w:iCs/>
          <w:noProof/>
          <w:sz w:val="24"/>
          <w:szCs w:val="24"/>
        </w:rPr>
        <w:t>20</w:t>
      </w:r>
      <w:r w:rsidRPr="00A51941">
        <w:rPr>
          <w:rFonts w:ascii="Times New Roman" w:hAnsi="Times New Roman" w:cs="Times New Roman"/>
          <w:noProof/>
          <w:sz w:val="24"/>
          <w:szCs w:val="24"/>
        </w:rPr>
        <w:t>(3), 146–150. https://doi.org/10.1016/j.jflm.2012.06.005</w:t>
      </w:r>
    </w:p>
    <w:p w14:paraId="739CCCBF"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lastRenderedPageBreak/>
        <w:t xml:space="preserve">Dishion, T. J., Kavanagh, K., Schneiger, A., Nelson, S., &amp; Kaufman, N. K. (2002). Preventing early adolescent substance use: A family-centered strategy for the public middle school. </w:t>
      </w:r>
      <w:r w:rsidRPr="00A51941">
        <w:rPr>
          <w:rFonts w:ascii="Times New Roman" w:hAnsi="Times New Roman" w:cs="Times New Roman"/>
          <w:i/>
          <w:iCs/>
          <w:noProof/>
          <w:sz w:val="24"/>
          <w:szCs w:val="24"/>
        </w:rPr>
        <w:t>Prevention Science</w:t>
      </w:r>
      <w:r w:rsidRPr="00A51941">
        <w:rPr>
          <w:rFonts w:ascii="Times New Roman" w:hAnsi="Times New Roman" w:cs="Times New Roman"/>
          <w:noProof/>
          <w:sz w:val="24"/>
          <w:szCs w:val="24"/>
        </w:rPr>
        <w:t xml:space="preserve">, </w:t>
      </w:r>
      <w:r w:rsidRPr="00A51941">
        <w:rPr>
          <w:rFonts w:ascii="Times New Roman" w:hAnsi="Times New Roman" w:cs="Times New Roman"/>
          <w:i/>
          <w:iCs/>
          <w:noProof/>
          <w:sz w:val="24"/>
          <w:szCs w:val="24"/>
        </w:rPr>
        <w:t>3</w:t>
      </w:r>
      <w:r w:rsidRPr="00A51941">
        <w:rPr>
          <w:rFonts w:ascii="Times New Roman" w:hAnsi="Times New Roman" w:cs="Times New Roman"/>
          <w:noProof/>
          <w:sz w:val="24"/>
          <w:szCs w:val="24"/>
        </w:rPr>
        <w:t>(3), 191–201. https://doi.org/DOI: 10.1023/A:1019994500301</w:t>
      </w:r>
    </w:p>
    <w:p w14:paraId="6167AF99"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Dodge, K. A. (2020). Annual Research Review: Universal and targeted strategies for assigning interventions to achieve population impact. </w:t>
      </w:r>
      <w:r w:rsidRPr="00A51941">
        <w:rPr>
          <w:rFonts w:ascii="Times New Roman" w:hAnsi="Times New Roman" w:cs="Times New Roman"/>
          <w:i/>
          <w:iCs/>
          <w:noProof/>
          <w:sz w:val="24"/>
          <w:szCs w:val="24"/>
        </w:rPr>
        <w:t>Journal of Child Psychology and Psychiatry</w:t>
      </w:r>
      <w:r w:rsidRPr="00A51941">
        <w:rPr>
          <w:rFonts w:ascii="Times New Roman" w:hAnsi="Times New Roman" w:cs="Times New Roman"/>
          <w:noProof/>
          <w:sz w:val="24"/>
          <w:szCs w:val="24"/>
        </w:rPr>
        <w:t xml:space="preserve">, </w:t>
      </w:r>
      <w:r w:rsidRPr="00A51941">
        <w:rPr>
          <w:rFonts w:ascii="Times New Roman" w:hAnsi="Times New Roman" w:cs="Times New Roman"/>
          <w:i/>
          <w:iCs/>
          <w:noProof/>
          <w:sz w:val="24"/>
          <w:szCs w:val="24"/>
        </w:rPr>
        <w:t>61</w:t>
      </w:r>
      <w:r w:rsidRPr="00A51941">
        <w:rPr>
          <w:rFonts w:ascii="Times New Roman" w:hAnsi="Times New Roman" w:cs="Times New Roman"/>
          <w:noProof/>
          <w:sz w:val="24"/>
          <w:szCs w:val="24"/>
        </w:rPr>
        <w:t>(3), 255–267. https://doi.org/10.1111/jcpp.13141</w:t>
      </w:r>
    </w:p>
    <w:p w14:paraId="61C8764B"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Dube, S. R., Anda, R. F., Whitfield, C. L., Brown, D. W., Felitti, V. J., Dong, M., &amp; Giles, W. H. (2005). Long-term consequences of childhood sexual abuse by gender of victim. </w:t>
      </w:r>
      <w:r w:rsidRPr="00A51941">
        <w:rPr>
          <w:rFonts w:ascii="Times New Roman" w:hAnsi="Times New Roman" w:cs="Times New Roman"/>
          <w:i/>
          <w:iCs/>
          <w:noProof/>
          <w:sz w:val="24"/>
          <w:szCs w:val="24"/>
        </w:rPr>
        <w:t>American Journal of Preventive Medicine</w:t>
      </w:r>
      <w:r w:rsidRPr="00A51941">
        <w:rPr>
          <w:rFonts w:ascii="Times New Roman" w:hAnsi="Times New Roman" w:cs="Times New Roman"/>
          <w:noProof/>
          <w:sz w:val="24"/>
          <w:szCs w:val="24"/>
        </w:rPr>
        <w:t xml:space="preserve">, </w:t>
      </w:r>
      <w:r w:rsidRPr="00A51941">
        <w:rPr>
          <w:rFonts w:ascii="Times New Roman" w:hAnsi="Times New Roman" w:cs="Times New Roman"/>
          <w:i/>
          <w:iCs/>
          <w:noProof/>
          <w:sz w:val="24"/>
          <w:szCs w:val="24"/>
        </w:rPr>
        <w:t>28</w:t>
      </w:r>
      <w:r w:rsidRPr="00A51941">
        <w:rPr>
          <w:rFonts w:ascii="Times New Roman" w:hAnsi="Times New Roman" w:cs="Times New Roman"/>
          <w:noProof/>
          <w:sz w:val="24"/>
          <w:szCs w:val="24"/>
        </w:rPr>
        <w:t>(5), 430–438. https://doi.org/10.1016/j.amepre.2005.01.015</w:t>
      </w:r>
    </w:p>
    <w:p w14:paraId="626F02CC"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Duffy, J. Y., Hughes, M., Asnes, A. G., &amp; Leventhal, J. M. (2015). Child maltreatment and risk patterns among participants in a child abuse prevention program. </w:t>
      </w:r>
      <w:r w:rsidRPr="00A51941">
        <w:rPr>
          <w:rFonts w:ascii="Times New Roman" w:hAnsi="Times New Roman" w:cs="Times New Roman"/>
          <w:i/>
          <w:iCs/>
          <w:noProof/>
          <w:sz w:val="24"/>
          <w:szCs w:val="24"/>
        </w:rPr>
        <w:t>Child Abuse and Neglect</w:t>
      </w:r>
      <w:r w:rsidRPr="00A51941">
        <w:rPr>
          <w:rFonts w:ascii="Times New Roman" w:hAnsi="Times New Roman" w:cs="Times New Roman"/>
          <w:noProof/>
          <w:sz w:val="24"/>
          <w:szCs w:val="24"/>
        </w:rPr>
        <w:t xml:space="preserve">, </w:t>
      </w:r>
      <w:r w:rsidRPr="00A51941">
        <w:rPr>
          <w:rFonts w:ascii="Times New Roman" w:hAnsi="Times New Roman" w:cs="Times New Roman"/>
          <w:i/>
          <w:iCs/>
          <w:noProof/>
          <w:sz w:val="24"/>
          <w:szCs w:val="24"/>
        </w:rPr>
        <w:t>44</w:t>
      </w:r>
      <w:r w:rsidRPr="00A51941">
        <w:rPr>
          <w:rFonts w:ascii="Times New Roman" w:hAnsi="Times New Roman" w:cs="Times New Roman"/>
          <w:noProof/>
          <w:sz w:val="24"/>
          <w:szCs w:val="24"/>
        </w:rPr>
        <w:t>, 184–193. https://doi.org/10.1016/j.chiabu.2014.11.005</w:t>
      </w:r>
    </w:p>
    <w:p w14:paraId="57CB26FF"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Finkelhor, D., &amp; Baron, L. (1986). Risk factors for child sexual abuse. </w:t>
      </w:r>
      <w:r w:rsidRPr="00A51941">
        <w:rPr>
          <w:rFonts w:ascii="Times New Roman" w:hAnsi="Times New Roman" w:cs="Times New Roman"/>
          <w:i/>
          <w:iCs/>
          <w:noProof/>
          <w:sz w:val="24"/>
          <w:szCs w:val="24"/>
        </w:rPr>
        <w:t>Journal of Interpersonal Violence</w:t>
      </w:r>
      <w:r w:rsidRPr="00A51941">
        <w:rPr>
          <w:rFonts w:ascii="Times New Roman" w:hAnsi="Times New Roman" w:cs="Times New Roman"/>
          <w:noProof/>
          <w:sz w:val="24"/>
          <w:szCs w:val="24"/>
        </w:rPr>
        <w:t xml:space="preserve">, </w:t>
      </w:r>
      <w:r w:rsidRPr="00A51941">
        <w:rPr>
          <w:rFonts w:ascii="Times New Roman" w:hAnsi="Times New Roman" w:cs="Times New Roman"/>
          <w:i/>
          <w:iCs/>
          <w:noProof/>
          <w:sz w:val="24"/>
          <w:szCs w:val="24"/>
        </w:rPr>
        <w:t>1</w:t>
      </w:r>
      <w:r w:rsidRPr="00A51941">
        <w:rPr>
          <w:rFonts w:ascii="Times New Roman" w:hAnsi="Times New Roman" w:cs="Times New Roman"/>
          <w:noProof/>
          <w:sz w:val="24"/>
          <w:szCs w:val="24"/>
        </w:rPr>
        <w:t>(1), 43–71.</w:t>
      </w:r>
    </w:p>
    <w:p w14:paraId="27A3EB24"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Finkelhor, D., Moore, D., Hamby, S. L., &amp; Straus, M. A. (1997). Sexually abused children in a national survey of parents: Methodological issues. </w:t>
      </w:r>
      <w:r w:rsidRPr="00A51941">
        <w:rPr>
          <w:rFonts w:ascii="Times New Roman" w:hAnsi="Times New Roman" w:cs="Times New Roman"/>
          <w:i/>
          <w:iCs/>
          <w:noProof/>
          <w:sz w:val="24"/>
          <w:szCs w:val="24"/>
        </w:rPr>
        <w:t>Child Abuse &amp; Neglect</w:t>
      </w:r>
      <w:r w:rsidRPr="00A51941">
        <w:rPr>
          <w:rFonts w:ascii="Times New Roman" w:hAnsi="Times New Roman" w:cs="Times New Roman"/>
          <w:noProof/>
          <w:sz w:val="24"/>
          <w:szCs w:val="24"/>
        </w:rPr>
        <w:t xml:space="preserve">, </w:t>
      </w:r>
      <w:r w:rsidRPr="00A51941">
        <w:rPr>
          <w:rFonts w:ascii="Times New Roman" w:hAnsi="Times New Roman" w:cs="Times New Roman"/>
          <w:i/>
          <w:iCs/>
          <w:noProof/>
          <w:sz w:val="24"/>
          <w:szCs w:val="24"/>
        </w:rPr>
        <w:t>21</w:t>
      </w:r>
      <w:r w:rsidRPr="00A51941">
        <w:rPr>
          <w:rFonts w:ascii="Times New Roman" w:hAnsi="Times New Roman" w:cs="Times New Roman"/>
          <w:noProof/>
          <w:sz w:val="24"/>
          <w:szCs w:val="24"/>
        </w:rPr>
        <w:t>(1), 1–9.</w:t>
      </w:r>
    </w:p>
    <w:p w14:paraId="56808A23"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Finkelhor, D., Saito, K., &amp; Jones, L. (2019). </w:t>
      </w:r>
      <w:r w:rsidRPr="00A51941">
        <w:rPr>
          <w:rFonts w:ascii="Times New Roman" w:hAnsi="Times New Roman" w:cs="Times New Roman"/>
          <w:i/>
          <w:iCs/>
          <w:noProof/>
          <w:sz w:val="24"/>
          <w:szCs w:val="24"/>
        </w:rPr>
        <w:t>Updated trends in child maltreatment, 2017</w:t>
      </w:r>
      <w:r w:rsidRPr="00A51941">
        <w:rPr>
          <w:rFonts w:ascii="Times New Roman" w:hAnsi="Times New Roman" w:cs="Times New Roman"/>
          <w:noProof/>
          <w:sz w:val="24"/>
          <w:szCs w:val="24"/>
        </w:rPr>
        <w:t>. Durham, NH.</w:t>
      </w:r>
    </w:p>
    <w:p w14:paraId="1C403430"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Finkelhor, D., Saito, K., &amp; Jones, L. (2020). </w:t>
      </w:r>
      <w:r w:rsidRPr="00A51941">
        <w:rPr>
          <w:rFonts w:ascii="Times New Roman" w:hAnsi="Times New Roman" w:cs="Times New Roman"/>
          <w:i/>
          <w:iCs/>
          <w:noProof/>
          <w:sz w:val="24"/>
          <w:szCs w:val="24"/>
        </w:rPr>
        <w:t>Updated trends in Child Maltreatment, 2018</w:t>
      </w:r>
      <w:r w:rsidRPr="00A51941">
        <w:rPr>
          <w:rFonts w:ascii="Times New Roman" w:hAnsi="Times New Roman" w:cs="Times New Roman"/>
          <w:noProof/>
          <w:sz w:val="24"/>
          <w:szCs w:val="24"/>
        </w:rPr>
        <w:t>. https://doi.org/10.1017/CBO9781107415324.004</w:t>
      </w:r>
    </w:p>
    <w:p w14:paraId="661ED640"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Finkelhor, D., &amp; Shattuck, A. (2012). </w:t>
      </w:r>
      <w:r w:rsidRPr="00A51941">
        <w:rPr>
          <w:rFonts w:ascii="Times New Roman" w:hAnsi="Times New Roman" w:cs="Times New Roman"/>
          <w:i/>
          <w:iCs/>
          <w:noProof/>
          <w:sz w:val="24"/>
          <w:szCs w:val="24"/>
        </w:rPr>
        <w:t>Characteristics of crimes against juveniles</w:t>
      </w:r>
      <w:r w:rsidRPr="00A51941">
        <w:rPr>
          <w:rFonts w:ascii="Times New Roman" w:hAnsi="Times New Roman" w:cs="Times New Roman"/>
          <w:noProof/>
          <w:sz w:val="24"/>
          <w:szCs w:val="24"/>
        </w:rPr>
        <w:t>. Durham, NH.</w:t>
      </w:r>
    </w:p>
    <w:p w14:paraId="480E33A9"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Guastaferro, K., Self-Brown, S., Shanley, J. R., Whitaker, D. J., &amp; Lutzker, J. R. (2018). </w:t>
      </w:r>
      <w:r w:rsidRPr="00A51941">
        <w:rPr>
          <w:rFonts w:ascii="Times New Roman" w:hAnsi="Times New Roman" w:cs="Times New Roman"/>
          <w:noProof/>
          <w:sz w:val="24"/>
          <w:szCs w:val="24"/>
        </w:rPr>
        <w:lastRenderedPageBreak/>
        <w:t xml:space="preserve">Engagement in home visiting: An overview of the problem and how a coalition of researchers worked to address this cross-model concern. </w:t>
      </w:r>
      <w:r w:rsidRPr="00A51941">
        <w:rPr>
          <w:rFonts w:ascii="Times New Roman" w:hAnsi="Times New Roman" w:cs="Times New Roman"/>
          <w:i/>
          <w:iCs/>
          <w:noProof/>
          <w:sz w:val="24"/>
          <w:szCs w:val="24"/>
        </w:rPr>
        <w:t>Journal of Child and Family Studies</w:t>
      </w:r>
      <w:r w:rsidRPr="00A51941">
        <w:rPr>
          <w:rFonts w:ascii="Times New Roman" w:hAnsi="Times New Roman" w:cs="Times New Roman"/>
          <w:noProof/>
          <w:sz w:val="24"/>
          <w:szCs w:val="24"/>
        </w:rPr>
        <w:t>. https://doi.org/10.1007/s10826-018-1279-x</w:t>
      </w:r>
    </w:p>
    <w:p w14:paraId="63E0AF23"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Guastaferro, K., Zadzora, K. M., Reader, J. M., Shanley, J., &amp; Noll, J. G. (2019). A Parent-focused child sexual abuse prevention program: Development, acceptability, and feasibility. </w:t>
      </w:r>
      <w:r w:rsidRPr="00A51941">
        <w:rPr>
          <w:rFonts w:ascii="Times New Roman" w:hAnsi="Times New Roman" w:cs="Times New Roman"/>
          <w:i/>
          <w:iCs/>
          <w:noProof/>
          <w:sz w:val="24"/>
          <w:szCs w:val="24"/>
        </w:rPr>
        <w:t>Journal of Child and Family Studies</w:t>
      </w:r>
      <w:r w:rsidRPr="00A51941">
        <w:rPr>
          <w:rFonts w:ascii="Times New Roman" w:hAnsi="Times New Roman" w:cs="Times New Roman"/>
          <w:noProof/>
          <w:sz w:val="24"/>
          <w:szCs w:val="24"/>
        </w:rPr>
        <w:t xml:space="preserve">, </w:t>
      </w:r>
      <w:r w:rsidRPr="00A51941">
        <w:rPr>
          <w:rFonts w:ascii="Times New Roman" w:hAnsi="Times New Roman" w:cs="Times New Roman"/>
          <w:i/>
          <w:iCs/>
          <w:noProof/>
          <w:sz w:val="24"/>
          <w:szCs w:val="24"/>
        </w:rPr>
        <w:t>28</w:t>
      </w:r>
      <w:r w:rsidRPr="00A51941">
        <w:rPr>
          <w:rFonts w:ascii="Times New Roman" w:hAnsi="Times New Roman" w:cs="Times New Roman"/>
          <w:noProof/>
          <w:sz w:val="24"/>
          <w:szCs w:val="24"/>
        </w:rPr>
        <w:t>(7), 1862–1877. https://doi.org/10.1007/s10826-019-01410-y</w:t>
      </w:r>
    </w:p>
    <w:p w14:paraId="3DABBC43"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Harris, P. A., Taylor, R., Thielke, R., Payne, J., Gonzalez, N., &amp; Conde, J. G. (2009). Research electronic data capture (REDCap) - A metadata-driven methodology and workflow process for providing translational research informatics support. </w:t>
      </w:r>
      <w:r w:rsidRPr="00A51941">
        <w:rPr>
          <w:rFonts w:ascii="Times New Roman" w:hAnsi="Times New Roman" w:cs="Times New Roman"/>
          <w:i/>
          <w:iCs/>
          <w:noProof/>
          <w:sz w:val="24"/>
          <w:szCs w:val="24"/>
        </w:rPr>
        <w:t>Journal of Biomedical Informatics</w:t>
      </w:r>
      <w:r w:rsidRPr="00A51941">
        <w:rPr>
          <w:rFonts w:ascii="Times New Roman" w:hAnsi="Times New Roman" w:cs="Times New Roman"/>
          <w:noProof/>
          <w:sz w:val="24"/>
          <w:szCs w:val="24"/>
        </w:rPr>
        <w:t xml:space="preserve">, </w:t>
      </w:r>
      <w:r w:rsidRPr="00A51941">
        <w:rPr>
          <w:rFonts w:ascii="Times New Roman" w:hAnsi="Times New Roman" w:cs="Times New Roman"/>
          <w:i/>
          <w:iCs/>
          <w:noProof/>
          <w:sz w:val="24"/>
          <w:szCs w:val="24"/>
        </w:rPr>
        <w:t>42</w:t>
      </w:r>
      <w:r w:rsidRPr="00A51941">
        <w:rPr>
          <w:rFonts w:ascii="Times New Roman" w:hAnsi="Times New Roman" w:cs="Times New Roman"/>
          <w:noProof/>
          <w:sz w:val="24"/>
          <w:szCs w:val="24"/>
        </w:rPr>
        <w:t>(2), 377–381.</w:t>
      </w:r>
    </w:p>
    <w:p w14:paraId="00623B6C"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Hornor, G. (2004). Sexual behavior in children: Normal or not? </w:t>
      </w:r>
      <w:r w:rsidRPr="00A51941">
        <w:rPr>
          <w:rFonts w:ascii="Times New Roman" w:hAnsi="Times New Roman" w:cs="Times New Roman"/>
          <w:i/>
          <w:iCs/>
          <w:noProof/>
          <w:sz w:val="24"/>
          <w:szCs w:val="24"/>
        </w:rPr>
        <w:t>Journal of Pediatric Health Care</w:t>
      </w:r>
      <w:r w:rsidRPr="00A51941">
        <w:rPr>
          <w:rFonts w:ascii="Times New Roman" w:hAnsi="Times New Roman" w:cs="Times New Roman"/>
          <w:noProof/>
          <w:sz w:val="24"/>
          <w:szCs w:val="24"/>
        </w:rPr>
        <w:t xml:space="preserve">, </w:t>
      </w:r>
      <w:r w:rsidRPr="00A51941">
        <w:rPr>
          <w:rFonts w:ascii="Times New Roman" w:hAnsi="Times New Roman" w:cs="Times New Roman"/>
          <w:i/>
          <w:iCs/>
          <w:noProof/>
          <w:sz w:val="24"/>
          <w:szCs w:val="24"/>
        </w:rPr>
        <w:t>18</w:t>
      </w:r>
      <w:r w:rsidRPr="00A51941">
        <w:rPr>
          <w:rFonts w:ascii="Times New Roman" w:hAnsi="Times New Roman" w:cs="Times New Roman"/>
          <w:noProof/>
          <w:sz w:val="24"/>
          <w:szCs w:val="24"/>
        </w:rPr>
        <w:t>(2), 57–64. https://doi.org/10.1016/S0891-5245(03)00154-8</w:t>
      </w:r>
    </w:p>
    <w:p w14:paraId="538E52FC"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Institute of Medicine. (1994). </w:t>
      </w:r>
      <w:r w:rsidRPr="00A51941">
        <w:rPr>
          <w:rFonts w:ascii="Times New Roman" w:hAnsi="Times New Roman" w:cs="Times New Roman"/>
          <w:i/>
          <w:iCs/>
          <w:noProof/>
          <w:sz w:val="24"/>
          <w:szCs w:val="24"/>
        </w:rPr>
        <w:t>Reducing Risks for Mental Disorders: Frontiers for Preventive Intervention Research</w:t>
      </w:r>
      <w:r w:rsidRPr="00A51941">
        <w:rPr>
          <w:rFonts w:ascii="Times New Roman" w:hAnsi="Times New Roman" w:cs="Times New Roman"/>
          <w:noProof/>
          <w:sz w:val="24"/>
          <w:szCs w:val="24"/>
        </w:rPr>
        <w:t>. https://doi.org/10.17226/2139</w:t>
      </w:r>
    </w:p>
    <w:p w14:paraId="16126298"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Jin, Y., Chen, J., &amp; Yu, B. (2019). Parental practice of child sexual abuse prevention education in China: Does it have an influence on child’s outcome? </w:t>
      </w:r>
      <w:r w:rsidRPr="00A51941">
        <w:rPr>
          <w:rFonts w:ascii="Times New Roman" w:hAnsi="Times New Roman" w:cs="Times New Roman"/>
          <w:i/>
          <w:iCs/>
          <w:noProof/>
          <w:sz w:val="24"/>
          <w:szCs w:val="24"/>
        </w:rPr>
        <w:t>Children and Youth Services Review</w:t>
      </w:r>
      <w:r w:rsidRPr="00A51941">
        <w:rPr>
          <w:rFonts w:ascii="Times New Roman" w:hAnsi="Times New Roman" w:cs="Times New Roman"/>
          <w:noProof/>
          <w:sz w:val="24"/>
          <w:szCs w:val="24"/>
        </w:rPr>
        <w:t xml:space="preserve">, </w:t>
      </w:r>
      <w:r w:rsidRPr="00A51941">
        <w:rPr>
          <w:rFonts w:ascii="Times New Roman" w:hAnsi="Times New Roman" w:cs="Times New Roman"/>
          <w:i/>
          <w:iCs/>
          <w:noProof/>
          <w:sz w:val="24"/>
          <w:szCs w:val="24"/>
        </w:rPr>
        <w:t>96</w:t>
      </w:r>
      <w:r w:rsidRPr="00A51941">
        <w:rPr>
          <w:rFonts w:ascii="Times New Roman" w:hAnsi="Times New Roman" w:cs="Times New Roman"/>
          <w:noProof/>
          <w:sz w:val="24"/>
          <w:szCs w:val="24"/>
        </w:rPr>
        <w:t>(November 2018), 64–69. https://doi.org/10.1016/j.childyouth.2018.11.029</w:t>
      </w:r>
    </w:p>
    <w:p w14:paraId="5A5D294C"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Jonzon, E., &amp; Lindblad, F. (2004). Disclosure, reactions, and social support: Findings from a sample of adult victims of child sexual abuse. </w:t>
      </w:r>
      <w:r w:rsidRPr="00A51941">
        <w:rPr>
          <w:rFonts w:ascii="Times New Roman" w:hAnsi="Times New Roman" w:cs="Times New Roman"/>
          <w:i/>
          <w:iCs/>
          <w:noProof/>
          <w:sz w:val="24"/>
          <w:szCs w:val="24"/>
        </w:rPr>
        <w:t>Child Maltreatment</w:t>
      </w:r>
      <w:r w:rsidRPr="00A51941">
        <w:rPr>
          <w:rFonts w:ascii="Times New Roman" w:hAnsi="Times New Roman" w:cs="Times New Roman"/>
          <w:noProof/>
          <w:sz w:val="24"/>
          <w:szCs w:val="24"/>
        </w:rPr>
        <w:t xml:space="preserve">, </w:t>
      </w:r>
      <w:r w:rsidRPr="00A51941">
        <w:rPr>
          <w:rFonts w:ascii="Times New Roman" w:hAnsi="Times New Roman" w:cs="Times New Roman"/>
          <w:i/>
          <w:iCs/>
          <w:noProof/>
          <w:sz w:val="24"/>
          <w:szCs w:val="24"/>
        </w:rPr>
        <w:t>9</w:t>
      </w:r>
      <w:r w:rsidRPr="00A51941">
        <w:rPr>
          <w:rFonts w:ascii="Times New Roman" w:hAnsi="Times New Roman" w:cs="Times New Roman"/>
          <w:noProof/>
          <w:sz w:val="24"/>
          <w:szCs w:val="24"/>
        </w:rPr>
        <w:t>(2), 190–200. https://doi.org/10.1177/1077559504264263</w:t>
      </w:r>
    </w:p>
    <w:p w14:paraId="43063EC5"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Kelley, M. L., Lawrence, H. R., Milletich, R. J., Hollis, B. F., &amp; Henson, J. M. (2015). Modeling risk for child abuse and harsh parenting in families with depressed and substance-abusing </w:t>
      </w:r>
      <w:r w:rsidRPr="00A51941">
        <w:rPr>
          <w:rFonts w:ascii="Times New Roman" w:hAnsi="Times New Roman" w:cs="Times New Roman"/>
          <w:noProof/>
          <w:sz w:val="24"/>
          <w:szCs w:val="24"/>
        </w:rPr>
        <w:lastRenderedPageBreak/>
        <w:t xml:space="preserve">parents. </w:t>
      </w:r>
      <w:r w:rsidRPr="00A51941">
        <w:rPr>
          <w:rFonts w:ascii="Times New Roman" w:hAnsi="Times New Roman" w:cs="Times New Roman"/>
          <w:i/>
          <w:iCs/>
          <w:noProof/>
          <w:sz w:val="24"/>
          <w:szCs w:val="24"/>
        </w:rPr>
        <w:t>Child Abuse and Neglect</w:t>
      </w:r>
      <w:r w:rsidRPr="00A51941">
        <w:rPr>
          <w:rFonts w:ascii="Times New Roman" w:hAnsi="Times New Roman" w:cs="Times New Roman"/>
          <w:noProof/>
          <w:sz w:val="24"/>
          <w:szCs w:val="24"/>
        </w:rPr>
        <w:t xml:space="preserve">, </w:t>
      </w:r>
      <w:r w:rsidRPr="00A51941">
        <w:rPr>
          <w:rFonts w:ascii="Times New Roman" w:hAnsi="Times New Roman" w:cs="Times New Roman"/>
          <w:i/>
          <w:iCs/>
          <w:noProof/>
          <w:sz w:val="24"/>
          <w:szCs w:val="24"/>
        </w:rPr>
        <w:t>43</w:t>
      </w:r>
      <w:r w:rsidRPr="00A51941">
        <w:rPr>
          <w:rFonts w:ascii="Times New Roman" w:hAnsi="Times New Roman" w:cs="Times New Roman"/>
          <w:noProof/>
          <w:sz w:val="24"/>
          <w:szCs w:val="24"/>
        </w:rPr>
        <w:t>, 42–52. https://doi.org/10.1016/j.chiabu.2015.01.017</w:t>
      </w:r>
    </w:p>
    <w:p w14:paraId="61A2F690"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Kwako, L. E., Noll, J. G., Putnam, F. W., &amp; Trickett, P. K. (2010). Childhood sexual abuse and attachment: An intergenerational perspective. </w:t>
      </w:r>
      <w:r w:rsidRPr="00A51941">
        <w:rPr>
          <w:rFonts w:ascii="Times New Roman" w:hAnsi="Times New Roman" w:cs="Times New Roman"/>
          <w:i/>
          <w:iCs/>
          <w:noProof/>
          <w:sz w:val="24"/>
          <w:szCs w:val="24"/>
        </w:rPr>
        <w:t>Clinical Child Psychology and Psychiatry</w:t>
      </w:r>
      <w:r w:rsidRPr="00A51941">
        <w:rPr>
          <w:rFonts w:ascii="Times New Roman" w:hAnsi="Times New Roman" w:cs="Times New Roman"/>
          <w:noProof/>
          <w:sz w:val="24"/>
          <w:szCs w:val="24"/>
        </w:rPr>
        <w:t xml:space="preserve">, </w:t>
      </w:r>
      <w:r w:rsidRPr="00A51941">
        <w:rPr>
          <w:rFonts w:ascii="Times New Roman" w:hAnsi="Times New Roman" w:cs="Times New Roman"/>
          <w:i/>
          <w:iCs/>
          <w:noProof/>
          <w:sz w:val="24"/>
          <w:szCs w:val="24"/>
        </w:rPr>
        <w:t>15</w:t>
      </w:r>
      <w:r w:rsidRPr="00A51941">
        <w:rPr>
          <w:rFonts w:ascii="Times New Roman" w:hAnsi="Times New Roman" w:cs="Times New Roman"/>
          <w:noProof/>
          <w:sz w:val="24"/>
          <w:szCs w:val="24"/>
        </w:rPr>
        <w:t>(3), 407–422. https://doi.org/10.1177/1359104510367590</w:t>
      </w:r>
    </w:p>
    <w:p w14:paraId="43D9DAD6"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Laaksonen, T., Sariola, H., Johansson, A., Jern, P., Varjonen, M., Von Der Pahlen, B., … Santtila, P. (2011). Changes in the prevalence of child sexual abuse, its risk factors, and their associations as a function of age cohort in a Finnish population sample. </w:t>
      </w:r>
      <w:r w:rsidRPr="00A51941">
        <w:rPr>
          <w:rFonts w:ascii="Times New Roman" w:hAnsi="Times New Roman" w:cs="Times New Roman"/>
          <w:i/>
          <w:iCs/>
          <w:noProof/>
          <w:sz w:val="24"/>
          <w:szCs w:val="24"/>
        </w:rPr>
        <w:t>Child Abuse and Neglect</w:t>
      </w:r>
      <w:r w:rsidRPr="00A51941">
        <w:rPr>
          <w:rFonts w:ascii="Times New Roman" w:hAnsi="Times New Roman" w:cs="Times New Roman"/>
          <w:noProof/>
          <w:sz w:val="24"/>
          <w:szCs w:val="24"/>
        </w:rPr>
        <w:t xml:space="preserve">, </w:t>
      </w:r>
      <w:r w:rsidRPr="00A51941">
        <w:rPr>
          <w:rFonts w:ascii="Times New Roman" w:hAnsi="Times New Roman" w:cs="Times New Roman"/>
          <w:i/>
          <w:iCs/>
          <w:noProof/>
          <w:sz w:val="24"/>
          <w:szCs w:val="24"/>
        </w:rPr>
        <w:t>35</w:t>
      </w:r>
      <w:r w:rsidRPr="00A51941">
        <w:rPr>
          <w:rFonts w:ascii="Times New Roman" w:hAnsi="Times New Roman" w:cs="Times New Roman"/>
          <w:noProof/>
          <w:sz w:val="24"/>
          <w:szCs w:val="24"/>
        </w:rPr>
        <w:t>(7), 480–490. https://doi.org/10.1016/j.chiabu.2011.03.004</w:t>
      </w:r>
    </w:p>
    <w:p w14:paraId="17AD2C7F"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Leclerc, B., Smallbone, S., &amp; Wortley, R. (2015). Prevention nearby: The influence of the presence of a potential guardian on the severity of child sexual abuse. </w:t>
      </w:r>
      <w:r w:rsidRPr="00A51941">
        <w:rPr>
          <w:rFonts w:ascii="Times New Roman" w:hAnsi="Times New Roman" w:cs="Times New Roman"/>
          <w:i/>
          <w:iCs/>
          <w:noProof/>
          <w:sz w:val="24"/>
          <w:szCs w:val="24"/>
        </w:rPr>
        <w:t>Sexual Abuse: Journal of Research and Treatment</w:t>
      </w:r>
      <w:r w:rsidRPr="00A51941">
        <w:rPr>
          <w:rFonts w:ascii="Times New Roman" w:hAnsi="Times New Roman" w:cs="Times New Roman"/>
          <w:noProof/>
          <w:sz w:val="24"/>
          <w:szCs w:val="24"/>
        </w:rPr>
        <w:t xml:space="preserve">, </w:t>
      </w:r>
      <w:r w:rsidRPr="00A51941">
        <w:rPr>
          <w:rFonts w:ascii="Times New Roman" w:hAnsi="Times New Roman" w:cs="Times New Roman"/>
          <w:i/>
          <w:iCs/>
          <w:noProof/>
          <w:sz w:val="24"/>
          <w:szCs w:val="24"/>
        </w:rPr>
        <w:t>27</w:t>
      </w:r>
      <w:r w:rsidRPr="00A51941">
        <w:rPr>
          <w:rFonts w:ascii="Times New Roman" w:hAnsi="Times New Roman" w:cs="Times New Roman"/>
          <w:noProof/>
          <w:sz w:val="24"/>
          <w:szCs w:val="24"/>
        </w:rPr>
        <w:t>(2), 189–204. https://doi.org/10.1177/1079063213504594</w:t>
      </w:r>
    </w:p>
    <w:p w14:paraId="6990B510"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Letourneau, E. J., Brown, D. S., Fang, X., Hassan, A., &amp; Mercy, J. A. (2018). The economic burden of child sexual abuse in the United States. </w:t>
      </w:r>
      <w:r w:rsidRPr="00A51941">
        <w:rPr>
          <w:rFonts w:ascii="Times New Roman" w:hAnsi="Times New Roman" w:cs="Times New Roman"/>
          <w:i/>
          <w:iCs/>
          <w:noProof/>
          <w:sz w:val="24"/>
          <w:szCs w:val="24"/>
        </w:rPr>
        <w:t>Child Abuse &amp; Neglect</w:t>
      </w:r>
      <w:r w:rsidRPr="00A51941">
        <w:rPr>
          <w:rFonts w:ascii="Times New Roman" w:hAnsi="Times New Roman" w:cs="Times New Roman"/>
          <w:noProof/>
          <w:sz w:val="24"/>
          <w:szCs w:val="24"/>
        </w:rPr>
        <w:t xml:space="preserve">, </w:t>
      </w:r>
      <w:r w:rsidRPr="00A51941">
        <w:rPr>
          <w:rFonts w:ascii="Times New Roman" w:hAnsi="Times New Roman" w:cs="Times New Roman"/>
          <w:i/>
          <w:iCs/>
          <w:noProof/>
          <w:sz w:val="24"/>
          <w:szCs w:val="24"/>
        </w:rPr>
        <w:t>79</w:t>
      </w:r>
      <w:r w:rsidRPr="00A51941">
        <w:rPr>
          <w:rFonts w:ascii="Times New Roman" w:hAnsi="Times New Roman" w:cs="Times New Roman"/>
          <w:noProof/>
          <w:sz w:val="24"/>
          <w:szCs w:val="24"/>
        </w:rPr>
        <w:t>, 413–422. https://doi.org/10.1016/j.chiabu.2018.02.020</w:t>
      </w:r>
    </w:p>
    <w:p w14:paraId="6F7F181A"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Lipari, R. N., &amp; Van Horn, S. L. (2017). </w:t>
      </w:r>
      <w:r w:rsidRPr="00A51941">
        <w:rPr>
          <w:rFonts w:ascii="Times New Roman" w:hAnsi="Times New Roman" w:cs="Times New Roman"/>
          <w:i/>
          <w:iCs/>
          <w:noProof/>
          <w:sz w:val="24"/>
          <w:szCs w:val="24"/>
        </w:rPr>
        <w:t>Children living with parents who have a substance use disorder. The CBHSQ Report: August 24, 2017.</w:t>
      </w:r>
      <w:r w:rsidRPr="00A51941">
        <w:rPr>
          <w:rFonts w:ascii="Times New Roman" w:hAnsi="Times New Roman" w:cs="Times New Roman"/>
          <w:noProof/>
          <w:sz w:val="24"/>
          <w:szCs w:val="24"/>
        </w:rPr>
        <w:t xml:space="preserve"> Retrieved from https://www.samhsa.gov/data/sites/default/files/report_3223/ShortReport-3223.html</w:t>
      </w:r>
    </w:p>
    <w:p w14:paraId="79CC8FDC"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Lundahl, B. W., Nimer, J., &amp; Parsons, B. (2006). Preventing child abuse: A meta-analysis of parent training programs. </w:t>
      </w:r>
      <w:r w:rsidRPr="00A51941">
        <w:rPr>
          <w:rFonts w:ascii="Times New Roman" w:hAnsi="Times New Roman" w:cs="Times New Roman"/>
          <w:i/>
          <w:iCs/>
          <w:noProof/>
          <w:sz w:val="24"/>
          <w:szCs w:val="24"/>
        </w:rPr>
        <w:t>Research on Social Work Practice</w:t>
      </w:r>
      <w:r w:rsidRPr="00A51941">
        <w:rPr>
          <w:rFonts w:ascii="Times New Roman" w:hAnsi="Times New Roman" w:cs="Times New Roman"/>
          <w:noProof/>
          <w:sz w:val="24"/>
          <w:szCs w:val="24"/>
        </w:rPr>
        <w:t xml:space="preserve">, </w:t>
      </w:r>
      <w:r w:rsidRPr="00A51941">
        <w:rPr>
          <w:rFonts w:ascii="Times New Roman" w:hAnsi="Times New Roman" w:cs="Times New Roman"/>
          <w:i/>
          <w:iCs/>
          <w:noProof/>
          <w:sz w:val="24"/>
          <w:szCs w:val="24"/>
        </w:rPr>
        <w:t>16</w:t>
      </w:r>
      <w:r w:rsidRPr="00A51941">
        <w:rPr>
          <w:rFonts w:ascii="Times New Roman" w:hAnsi="Times New Roman" w:cs="Times New Roman"/>
          <w:noProof/>
          <w:sz w:val="24"/>
          <w:szCs w:val="24"/>
        </w:rPr>
        <w:t>(3), 251–262. https://doi.org/10.1177/1049731505284391</w:t>
      </w:r>
    </w:p>
    <w:p w14:paraId="37B7D2D9"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Mason, W. A., Kosterman, R., Hawkins, J. D., Haggerty, K. P., &amp; Spoth, R. L. (2003). Reducing adolescents growth in substance use and delinquency: Randomized trial effects of parent </w:t>
      </w:r>
      <w:r w:rsidRPr="00A51941">
        <w:rPr>
          <w:rFonts w:ascii="Times New Roman" w:hAnsi="Times New Roman" w:cs="Times New Roman"/>
          <w:noProof/>
          <w:sz w:val="24"/>
          <w:szCs w:val="24"/>
        </w:rPr>
        <w:lastRenderedPageBreak/>
        <w:t xml:space="preserve">training prevention intervention. </w:t>
      </w:r>
      <w:r w:rsidRPr="00A51941">
        <w:rPr>
          <w:rFonts w:ascii="Times New Roman" w:hAnsi="Times New Roman" w:cs="Times New Roman"/>
          <w:i/>
          <w:iCs/>
          <w:noProof/>
          <w:sz w:val="24"/>
          <w:szCs w:val="24"/>
        </w:rPr>
        <w:t>Prevention Science</w:t>
      </w:r>
      <w:r w:rsidRPr="00A51941">
        <w:rPr>
          <w:rFonts w:ascii="Times New Roman" w:hAnsi="Times New Roman" w:cs="Times New Roman"/>
          <w:noProof/>
          <w:sz w:val="24"/>
          <w:szCs w:val="24"/>
        </w:rPr>
        <w:t xml:space="preserve">, </w:t>
      </w:r>
      <w:r w:rsidRPr="00A51941">
        <w:rPr>
          <w:rFonts w:ascii="Times New Roman" w:hAnsi="Times New Roman" w:cs="Times New Roman"/>
          <w:i/>
          <w:iCs/>
          <w:noProof/>
          <w:sz w:val="24"/>
          <w:szCs w:val="24"/>
        </w:rPr>
        <w:t>4</w:t>
      </w:r>
      <w:r w:rsidRPr="00A51941">
        <w:rPr>
          <w:rFonts w:ascii="Times New Roman" w:hAnsi="Times New Roman" w:cs="Times New Roman"/>
          <w:noProof/>
          <w:sz w:val="24"/>
          <w:szCs w:val="24"/>
        </w:rPr>
        <w:t>(3), 203–212.</w:t>
      </w:r>
    </w:p>
    <w:p w14:paraId="2220A647"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McCloskey, L. A., &amp; Bailey, J. A. (2000). The intergenerational transmission of risk for child sexual abuse. </w:t>
      </w:r>
      <w:r w:rsidRPr="00A51941">
        <w:rPr>
          <w:rFonts w:ascii="Times New Roman" w:hAnsi="Times New Roman" w:cs="Times New Roman"/>
          <w:i/>
          <w:iCs/>
          <w:noProof/>
          <w:sz w:val="24"/>
          <w:szCs w:val="24"/>
        </w:rPr>
        <w:t>Journal of Interpersonal Violence</w:t>
      </w:r>
      <w:r w:rsidRPr="00A51941">
        <w:rPr>
          <w:rFonts w:ascii="Times New Roman" w:hAnsi="Times New Roman" w:cs="Times New Roman"/>
          <w:noProof/>
          <w:sz w:val="24"/>
          <w:szCs w:val="24"/>
        </w:rPr>
        <w:t xml:space="preserve">, </w:t>
      </w:r>
      <w:r w:rsidRPr="00A51941">
        <w:rPr>
          <w:rFonts w:ascii="Times New Roman" w:hAnsi="Times New Roman" w:cs="Times New Roman"/>
          <w:i/>
          <w:iCs/>
          <w:noProof/>
          <w:sz w:val="24"/>
          <w:szCs w:val="24"/>
        </w:rPr>
        <w:t>15</w:t>
      </w:r>
      <w:r w:rsidRPr="00A51941">
        <w:rPr>
          <w:rFonts w:ascii="Times New Roman" w:hAnsi="Times New Roman" w:cs="Times New Roman"/>
          <w:noProof/>
          <w:sz w:val="24"/>
          <w:szCs w:val="24"/>
        </w:rPr>
        <w:t>(10), 1019–1035.</w:t>
      </w:r>
    </w:p>
    <w:p w14:paraId="5997A44B"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Mendelson, T., &amp; Letourneau, E. (2015). Parent-focused prevention of child sexual abuse. </w:t>
      </w:r>
      <w:r w:rsidRPr="00A51941">
        <w:rPr>
          <w:rFonts w:ascii="Times New Roman" w:hAnsi="Times New Roman" w:cs="Times New Roman"/>
          <w:i/>
          <w:iCs/>
          <w:noProof/>
          <w:sz w:val="24"/>
          <w:szCs w:val="24"/>
        </w:rPr>
        <w:t>Prevention Science</w:t>
      </w:r>
      <w:r w:rsidRPr="00A51941">
        <w:rPr>
          <w:rFonts w:ascii="Times New Roman" w:hAnsi="Times New Roman" w:cs="Times New Roman"/>
          <w:noProof/>
          <w:sz w:val="24"/>
          <w:szCs w:val="24"/>
        </w:rPr>
        <w:t xml:space="preserve">, </w:t>
      </w:r>
      <w:r w:rsidRPr="00A51941">
        <w:rPr>
          <w:rFonts w:ascii="Times New Roman" w:hAnsi="Times New Roman" w:cs="Times New Roman"/>
          <w:i/>
          <w:iCs/>
          <w:noProof/>
          <w:sz w:val="24"/>
          <w:szCs w:val="24"/>
        </w:rPr>
        <w:t>16</w:t>
      </w:r>
      <w:r w:rsidRPr="00A51941">
        <w:rPr>
          <w:rFonts w:ascii="Times New Roman" w:hAnsi="Times New Roman" w:cs="Times New Roman"/>
          <w:noProof/>
          <w:sz w:val="24"/>
          <w:szCs w:val="24"/>
        </w:rPr>
        <w:t>, 844–852. https://doi.org/10.1007/s11121-015-0553-z</w:t>
      </w:r>
    </w:p>
    <w:p w14:paraId="2986BB6C"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Noll, J. G., Guastaferro, K., Beal, S. J., Schreier, H. M. C., Barnes, J., Reader, J. M., &amp; Font, S. A. (2018). Is sexual abuse a unique predictor of sexual risk behaviors, pregnancy, and motherhood in adolescence? </w:t>
      </w:r>
      <w:r w:rsidRPr="00A51941">
        <w:rPr>
          <w:rFonts w:ascii="Times New Roman" w:hAnsi="Times New Roman" w:cs="Times New Roman"/>
          <w:i/>
          <w:iCs/>
          <w:noProof/>
          <w:sz w:val="24"/>
          <w:szCs w:val="24"/>
        </w:rPr>
        <w:t>Journal of Research on Adolescence</w:t>
      </w:r>
      <w:r w:rsidRPr="00A51941">
        <w:rPr>
          <w:rFonts w:ascii="Times New Roman" w:hAnsi="Times New Roman" w:cs="Times New Roman"/>
          <w:noProof/>
          <w:sz w:val="24"/>
          <w:szCs w:val="24"/>
        </w:rPr>
        <w:t>, 1–17. https://doi.org/10.1111/jora.12436</w:t>
      </w:r>
    </w:p>
    <w:p w14:paraId="30D0E079"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Noll, J. G., &amp; Shenk, C. E. (2013). Teen birth rates in sexually abused and neglected females. </w:t>
      </w:r>
      <w:r w:rsidRPr="00A51941">
        <w:rPr>
          <w:rFonts w:ascii="Times New Roman" w:hAnsi="Times New Roman" w:cs="Times New Roman"/>
          <w:i/>
          <w:iCs/>
          <w:noProof/>
          <w:sz w:val="24"/>
          <w:szCs w:val="24"/>
        </w:rPr>
        <w:t>Pediatrics</w:t>
      </w:r>
      <w:r w:rsidRPr="00A51941">
        <w:rPr>
          <w:rFonts w:ascii="Times New Roman" w:hAnsi="Times New Roman" w:cs="Times New Roman"/>
          <w:noProof/>
          <w:sz w:val="24"/>
          <w:szCs w:val="24"/>
        </w:rPr>
        <w:t xml:space="preserve">, </w:t>
      </w:r>
      <w:r w:rsidRPr="00A51941">
        <w:rPr>
          <w:rFonts w:ascii="Times New Roman" w:hAnsi="Times New Roman" w:cs="Times New Roman"/>
          <w:i/>
          <w:iCs/>
          <w:noProof/>
          <w:sz w:val="24"/>
          <w:szCs w:val="24"/>
        </w:rPr>
        <w:t>131</w:t>
      </w:r>
      <w:r w:rsidRPr="00A51941">
        <w:rPr>
          <w:rFonts w:ascii="Times New Roman" w:hAnsi="Times New Roman" w:cs="Times New Roman"/>
          <w:noProof/>
          <w:sz w:val="24"/>
          <w:szCs w:val="24"/>
        </w:rPr>
        <w:t>(4), e1181–e1187. https://doi.org/10.1542/peds.2012-3072</w:t>
      </w:r>
    </w:p>
    <w:p w14:paraId="58404B50"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Noll, J. G., Trickett, P. K., Long, J. D., Negriff, S., Susman, E. J., Shalev, I., … Putnam, F. W. (2017). Childhood sexual abuse and early timing of puberty. </w:t>
      </w:r>
      <w:r w:rsidRPr="00A51941">
        <w:rPr>
          <w:rFonts w:ascii="Times New Roman" w:hAnsi="Times New Roman" w:cs="Times New Roman"/>
          <w:i/>
          <w:iCs/>
          <w:noProof/>
          <w:sz w:val="24"/>
          <w:szCs w:val="24"/>
        </w:rPr>
        <w:t>Journal of Adolescent Health</w:t>
      </w:r>
      <w:r w:rsidRPr="00A51941">
        <w:rPr>
          <w:rFonts w:ascii="Times New Roman" w:hAnsi="Times New Roman" w:cs="Times New Roman"/>
          <w:noProof/>
          <w:sz w:val="24"/>
          <w:szCs w:val="24"/>
        </w:rPr>
        <w:t xml:space="preserve">, </w:t>
      </w:r>
      <w:r w:rsidRPr="00A51941">
        <w:rPr>
          <w:rFonts w:ascii="Times New Roman" w:hAnsi="Times New Roman" w:cs="Times New Roman"/>
          <w:i/>
          <w:iCs/>
          <w:noProof/>
          <w:sz w:val="24"/>
          <w:szCs w:val="24"/>
        </w:rPr>
        <w:t>60</w:t>
      </w:r>
      <w:r w:rsidRPr="00A51941">
        <w:rPr>
          <w:rFonts w:ascii="Times New Roman" w:hAnsi="Times New Roman" w:cs="Times New Roman"/>
          <w:noProof/>
          <w:sz w:val="24"/>
          <w:szCs w:val="24"/>
        </w:rPr>
        <w:t>(1), 65–71. https://doi.org/10.1016/j.jadohealth.2016.09.008</w:t>
      </w:r>
    </w:p>
    <w:p w14:paraId="35960F3C"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Noll, J. G., Zeller, M. H., Trickett, P. K., &amp; Putnam, F. W. (2007). Obesity risk for female victims of childhood sexual abuse: a prospective study. </w:t>
      </w:r>
      <w:r w:rsidRPr="00A51941">
        <w:rPr>
          <w:rFonts w:ascii="Times New Roman" w:hAnsi="Times New Roman" w:cs="Times New Roman"/>
          <w:i/>
          <w:iCs/>
          <w:noProof/>
          <w:sz w:val="24"/>
          <w:szCs w:val="24"/>
        </w:rPr>
        <w:t>Pediatrics</w:t>
      </w:r>
      <w:r w:rsidRPr="00A51941">
        <w:rPr>
          <w:rFonts w:ascii="Times New Roman" w:hAnsi="Times New Roman" w:cs="Times New Roman"/>
          <w:noProof/>
          <w:sz w:val="24"/>
          <w:szCs w:val="24"/>
        </w:rPr>
        <w:t xml:space="preserve">, </w:t>
      </w:r>
      <w:r w:rsidRPr="00A51941">
        <w:rPr>
          <w:rFonts w:ascii="Times New Roman" w:hAnsi="Times New Roman" w:cs="Times New Roman"/>
          <w:i/>
          <w:iCs/>
          <w:noProof/>
          <w:sz w:val="24"/>
          <w:szCs w:val="24"/>
        </w:rPr>
        <w:t>120</w:t>
      </w:r>
      <w:r w:rsidRPr="00A51941">
        <w:rPr>
          <w:rFonts w:ascii="Times New Roman" w:hAnsi="Times New Roman" w:cs="Times New Roman"/>
          <w:noProof/>
          <w:sz w:val="24"/>
          <w:szCs w:val="24"/>
        </w:rPr>
        <w:t>(1), e61-7. https://doi.org/10.1542/peds.2006-3058</w:t>
      </w:r>
    </w:p>
    <w:p w14:paraId="58D33C19"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Paine, M. L., &amp; Hansen, D. J. (2002). Factors influencing children to self-disclose sexual abuse. </w:t>
      </w:r>
      <w:r w:rsidRPr="00A51941">
        <w:rPr>
          <w:rFonts w:ascii="Times New Roman" w:hAnsi="Times New Roman" w:cs="Times New Roman"/>
          <w:i/>
          <w:iCs/>
          <w:noProof/>
          <w:sz w:val="24"/>
          <w:szCs w:val="24"/>
        </w:rPr>
        <w:t>Clinical Psychology Review</w:t>
      </w:r>
      <w:r w:rsidRPr="00A51941">
        <w:rPr>
          <w:rFonts w:ascii="Times New Roman" w:hAnsi="Times New Roman" w:cs="Times New Roman"/>
          <w:noProof/>
          <w:sz w:val="24"/>
          <w:szCs w:val="24"/>
        </w:rPr>
        <w:t xml:space="preserve">, </w:t>
      </w:r>
      <w:r w:rsidRPr="00A51941">
        <w:rPr>
          <w:rFonts w:ascii="Times New Roman" w:hAnsi="Times New Roman" w:cs="Times New Roman"/>
          <w:i/>
          <w:iCs/>
          <w:noProof/>
          <w:sz w:val="24"/>
          <w:szCs w:val="24"/>
        </w:rPr>
        <w:t>22</w:t>
      </w:r>
      <w:r w:rsidRPr="00A51941">
        <w:rPr>
          <w:rFonts w:ascii="Times New Roman" w:hAnsi="Times New Roman" w:cs="Times New Roman"/>
          <w:noProof/>
          <w:sz w:val="24"/>
          <w:szCs w:val="24"/>
        </w:rPr>
        <w:t>(2), 271–295. https://doi.org/10.1016/S0272-7358(01)00091-5</w:t>
      </w:r>
    </w:p>
    <w:p w14:paraId="3AB579FA"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Palusci, V. J. (2011). Risk factors and services for child maltreatment among infants and young children. </w:t>
      </w:r>
      <w:r w:rsidRPr="00A51941">
        <w:rPr>
          <w:rFonts w:ascii="Times New Roman" w:hAnsi="Times New Roman" w:cs="Times New Roman"/>
          <w:i/>
          <w:iCs/>
          <w:noProof/>
          <w:sz w:val="24"/>
          <w:szCs w:val="24"/>
        </w:rPr>
        <w:t>Children and Youth Services Review</w:t>
      </w:r>
      <w:r w:rsidRPr="00A51941">
        <w:rPr>
          <w:rFonts w:ascii="Times New Roman" w:hAnsi="Times New Roman" w:cs="Times New Roman"/>
          <w:noProof/>
          <w:sz w:val="24"/>
          <w:szCs w:val="24"/>
        </w:rPr>
        <w:t xml:space="preserve">, </w:t>
      </w:r>
      <w:r w:rsidRPr="00A51941">
        <w:rPr>
          <w:rFonts w:ascii="Times New Roman" w:hAnsi="Times New Roman" w:cs="Times New Roman"/>
          <w:i/>
          <w:iCs/>
          <w:noProof/>
          <w:sz w:val="24"/>
          <w:szCs w:val="24"/>
        </w:rPr>
        <w:t>33</w:t>
      </w:r>
      <w:r w:rsidRPr="00A51941">
        <w:rPr>
          <w:rFonts w:ascii="Times New Roman" w:hAnsi="Times New Roman" w:cs="Times New Roman"/>
          <w:noProof/>
          <w:sz w:val="24"/>
          <w:szCs w:val="24"/>
        </w:rPr>
        <w:t>(8), 1374–1382. https://doi.org/10.1016/j.childyouth.2011.04.025</w:t>
      </w:r>
    </w:p>
    <w:p w14:paraId="5F153F10"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lastRenderedPageBreak/>
        <w:t xml:space="preserve">Palusci, V. J., &amp; Ilardi, M. (2020). Risk factors and services to reduce child sexual abuse recurrence. </w:t>
      </w:r>
      <w:r w:rsidRPr="00A51941">
        <w:rPr>
          <w:rFonts w:ascii="Times New Roman" w:hAnsi="Times New Roman" w:cs="Times New Roman"/>
          <w:i/>
          <w:iCs/>
          <w:noProof/>
          <w:sz w:val="24"/>
          <w:szCs w:val="24"/>
        </w:rPr>
        <w:t>Child Maltreatment</w:t>
      </w:r>
      <w:r w:rsidRPr="00A51941">
        <w:rPr>
          <w:rFonts w:ascii="Times New Roman" w:hAnsi="Times New Roman" w:cs="Times New Roman"/>
          <w:noProof/>
          <w:sz w:val="24"/>
          <w:szCs w:val="24"/>
        </w:rPr>
        <w:t xml:space="preserve">, </w:t>
      </w:r>
      <w:r w:rsidRPr="00A51941">
        <w:rPr>
          <w:rFonts w:ascii="Times New Roman" w:hAnsi="Times New Roman" w:cs="Times New Roman"/>
          <w:i/>
          <w:iCs/>
          <w:noProof/>
          <w:sz w:val="24"/>
          <w:szCs w:val="24"/>
        </w:rPr>
        <w:t>25</w:t>
      </w:r>
      <w:r w:rsidRPr="00A51941">
        <w:rPr>
          <w:rFonts w:ascii="Times New Roman" w:hAnsi="Times New Roman" w:cs="Times New Roman"/>
          <w:noProof/>
          <w:sz w:val="24"/>
          <w:szCs w:val="24"/>
        </w:rPr>
        <w:t>(1), 106–116. https://doi.org/10.1177/1077559519848489</w:t>
      </w:r>
    </w:p>
    <w:p w14:paraId="4D214172"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Pérez-Fuentes, G., Olfson, M., Villegas, L., Morcillo, C., Wang, S., &amp; Blanco, C. (2013). Prevalence and correlates of child sexual abuse: A national study. </w:t>
      </w:r>
      <w:r w:rsidRPr="00A51941">
        <w:rPr>
          <w:rFonts w:ascii="Times New Roman" w:hAnsi="Times New Roman" w:cs="Times New Roman"/>
          <w:i/>
          <w:iCs/>
          <w:noProof/>
          <w:sz w:val="24"/>
          <w:szCs w:val="24"/>
        </w:rPr>
        <w:t>Comprehensive Psychiatry</w:t>
      </w:r>
      <w:r w:rsidRPr="00A51941">
        <w:rPr>
          <w:rFonts w:ascii="Times New Roman" w:hAnsi="Times New Roman" w:cs="Times New Roman"/>
          <w:noProof/>
          <w:sz w:val="24"/>
          <w:szCs w:val="24"/>
        </w:rPr>
        <w:t xml:space="preserve">, </w:t>
      </w:r>
      <w:r w:rsidRPr="00A51941">
        <w:rPr>
          <w:rFonts w:ascii="Times New Roman" w:hAnsi="Times New Roman" w:cs="Times New Roman"/>
          <w:i/>
          <w:iCs/>
          <w:noProof/>
          <w:sz w:val="24"/>
          <w:szCs w:val="24"/>
        </w:rPr>
        <w:t>54</w:t>
      </w:r>
      <w:r w:rsidRPr="00A51941">
        <w:rPr>
          <w:rFonts w:ascii="Times New Roman" w:hAnsi="Times New Roman" w:cs="Times New Roman"/>
          <w:noProof/>
          <w:sz w:val="24"/>
          <w:szCs w:val="24"/>
        </w:rPr>
        <w:t>(1), 16–27. https://doi.org/10.1016/j.comppsych.2012.05.010</w:t>
      </w:r>
    </w:p>
    <w:p w14:paraId="0FD89D31"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Prinz, R. J., Sanders, M. R., Shapiro, C. J., Whitaker, D. J., &amp; Lutzker, J. R. (2009). Population-based prevention of child maltreatment: The U.S. Triple P system population trial. </w:t>
      </w:r>
      <w:r w:rsidRPr="00A51941">
        <w:rPr>
          <w:rFonts w:ascii="Times New Roman" w:hAnsi="Times New Roman" w:cs="Times New Roman"/>
          <w:i/>
          <w:iCs/>
          <w:noProof/>
          <w:sz w:val="24"/>
          <w:szCs w:val="24"/>
        </w:rPr>
        <w:t>Prevention Science</w:t>
      </w:r>
      <w:r w:rsidRPr="00A51941">
        <w:rPr>
          <w:rFonts w:ascii="Times New Roman" w:hAnsi="Times New Roman" w:cs="Times New Roman"/>
          <w:noProof/>
          <w:sz w:val="24"/>
          <w:szCs w:val="24"/>
        </w:rPr>
        <w:t xml:space="preserve">, </w:t>
      </w:r>
      <w:r w:rsidRPr="00A51941">
        <w:rPr>
          <w:rFonts w:ascii="Times New Roman" w:hAnsi="Times New Roman" w:cs="Times New Roman"/>
          <w:i/>
          <w:iCs/>
          <w:noProof/>
          <w:sz w:val="24"/>
          <w:szCs w:val="24"/>
        </w:rPr>
        <w:t>10</w:t>
      </w:r>
      <w:r w:rsidRPr="00A51941">
        <w:rPr>
          <w:rFonts w:ascii="Times New Roman" w:hAnsi="Times New Roman" w:cs="Times New Roman"/>
          <w:noProof/>
          <w:sz w:val="24"/>
          <w:szCs w:val="24"/>
        </w:rPr>
        <w:t>, 1–12. https://doi.org/10.1007/s11121-016-0631-x</w:t>
      </w:r>
    </w:p>
    <w:p w14:paraId="04130E10"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Pulido, M. L., Dauber, S., Tully, B. A., Hamilton, P., Smith, M. J., &amp; Freeman, K. (2015). Knowledge gains following a child sexual abuse prevention program among urban students: A cluster-randomized evaluation. </w:t>
      </w:r>
      <w:r w:rsidRPr="00A51941">
        <w:rPr>
          <w:rFonts w:ascii="Times New Roman" w:hAnsi="Times New Roman" w:cs="Times New Roman"/>
          <w:i/>
          <w:iCs/>
          <w:noProof/>
          <w:sz w:val="24"/>
          <w:szCs w:val="24"/>
        </w:rPr>
        <w:t>American Journal of Public Health</w:t>
      </w:r>
      <w:r w:rsidRPr="00A51941">
        <w:rPr>
          <w:rFonts w:ascii="Times New Roman" w:hAnsi="Times New Roman" w:cs="Times New Roman"/>
          <w:noProof/>
          <w:sz w:val="24"/>
          <w:szCs w:val="24"/>
        </w:rPr>
        <w:t xml:space="preserve">, </w:t>
      </w:r>
      <w:r w:rsidRPr="00A51941">
        <w:rPr>
          <w:rFonts w:ascii="Times New Roman" w:hAnsi="Times New Roman" w:cs="Times New Roman"/>
          <w:i/>
          <w:iCs/>
          <w:noProof/>
          <w:sz w:val="24"/>
          <w:szCs w:val="24"/>
        </w:rPr>
        <w:t>105</w:t>
      </w:r>
      <w:r w:rsidRPr="00A51941">
        <w:rPr>
          <w:rFonts w:ascii="Times New Roman" w:hAnsi="Times New Roman" w:cs="Times New Roman"/>
          <w:noProof/>
          <w:sz w:val="24"/>
          <w:szCs w:val="24"/>
        </w:rPr>
        <w:t>(7), 1344–1350. https://doi.org/10.2105/AJPH.2015.302594</w:t>
      </w:r>
    </w:p>
    <w:p w14:paraId="6A0F2432"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Radloff, L. S. (1977). The CES-D scale: A self report depression scale for research in the general population. </w:t>
      </w:r>
      <w:r w:rsidRPr="00A51941">
        <w:rPr>
          <w:rFonts w:ascii="Times New Roman" w:hAnsi="Times New Roman" w:cs="Times New Roman"/>
          <w:i/>
          <w:iCs/>
          <w:noProof/>
          <w:sz w:val="24"/>
          <w:szCs w:val="24"/>
        </w:rPr>
        <w:t>Applied Psychological Measurements</w:t>
      </w:r>
      <w:r w:rsidRPr="00A51941">
        <w:rPr>
          <w:rFonts w:ascii="Times New Roman" w:hAnsi="Times New Roman" w:cs="Times New Roman"/>
          <w:noProof/>
          <w:sz w:val="24"/>
          <w:szCs w:val="24"/>
        </w:rPr>
        <w:t xml:space="preserve">, </w:t>
      </w:r>
      <w:r w:rsidRPr="00A51941">
        <w:rPr>
          <w:rFonts w:ascii="Times New Roman" w:hAnsi="Times New Roman" w:cs="Times New Roman"/>
          <w:i/>
          <w:iCs/>
          <w:noProof/>
          <w:sz w:val="24"/>
          <w:szCs w:val="24"/>
        </w:rPr>
        <w:t>1</w:t>
      </w:r>
      <w:r w:rsidRPr="00A51941">
        <w:rPr>
          <w:rFonts w:ascii="Times New Roman" w:hAnsi="Times New Roman" w:cs="Times New Roman"/>
          <w:noProof/>
          <w:sz w:val="24"/>
          <w:szCs w:val="24"/>
        </w:rPr>
        <w:t>, 385–401.</w:t>
      </w:r>
    </w:p>
    <w:p w14:paraId="61EC8EB1"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Rae Grant, N. I. (1994). Preventive interventions for children and adolescents: Where are we now and how far have we come? </w:t>
      </w:r>
      <w:r w:rsidRPr="00A51941">
        <w:rPr>
          <w:rFonts w:ascii="Times New Roman" w:hAnsi="Times New Roman" w:cs="Times New Roman"/>
          <w:i/>
          <w:iCs/>
          <w:noProof/>
          <w:sz w:val="24"/>
          <w:szCs w:val="24"/>
        </w:rPr>
        <w:t>Canadian Journal of Community Mental Health</w:t>
      </w:r>
      <w:r w:rsidRPr="00A51941">
        <w:rPr>
          <w:rFonts w:ascii="Times New Roman" w:hAnsi="Times New Roman" w:cs="Times New Roman"/>
          <w:noProof/>
          <w:sz w:val="24"/>
          <w:szCs w:val="24"/>
        </w:rPr>
        <w:t xml:space="preserve">, </w:t>
      </w:r>
      <w:r w:rsidRPr="00A51941">
        <w:rPr>
          <w:rFonts w:ascii="Times New Roman" w:hAnsi="Times New Roman" w:cs="Times New Roman"/>
          <w:i/>
          <w:iCs/>
          <w:noProof/>
          <w:sz w:val="24"/>
          <w:szCs w:val="24"/>
        </w:rPr>
        <w:t>13</w:t>
      </w:r>
      <w:r w:rsidRPr="00A51941">
        <w:rPr>
          <w:rFonts w:ascii="Times New Roman" w:hAnsi="Times New Roman" w:cs="Times New Roman"/>
          <w:noProof/>
          <w:sz w:val="24"/>
          <w:szCs w:val="24"/>
        </w:rPr>
        <w:t>(2), 17–36.</w:t>
      </w:r>
    </w:p>
    <w:p w14:paraId="4B2B1828"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Reid, J., &amp; Webster-Stratton, C. (2001). The Incredible Years parent, teacher, and child intervention: Targeting multiple areas of risk for a young child with pervasive conduct problems using a flexible, manualized treatment program. </w:t>
      </w:r>
      <w:r w:rsidRPr="00A51941">
        <w:rPr>
          <w:rFonts w:ascii="Times New Roman" w:hAnsi="Times New Roman" w:cs="Times New Roman"/>
          <w:i/>
          <w:iCs/>
          <w:noProof/>
          <w:sz w:val="24"/>
          <w:szCs w:val="24"/>
        </w:rPr>
        <w:t>Cognitive and Behavioral Practice</w:t>
      </w:r>
      <w:r w:rsidRPr="00A51941">
        <w:rPr>
          <w:rFonts w:ascii="Times New Roman" w:hAnsi="Times New Roman" w:cs="Times New Roman"/>
          <w:noProof/>
          <w:sz w:val="24"/>
          <w:szCs w:val="24"/>
        </w:rPr>
        <w:t xml:space="preserve">, </w:t>
      </w:r>
      <w:r w:rsidRPr="00A51941">
        <w:rPr>
          <w:rFonts w:ascii="Times New Roman" w:hAnsi="Times New Roman" w:cs="Times New Roman"/>
          <w:i/>
          <w:iCs/>
          <w:noProof/>
          <w:sz w:val="24"/>
          <w:szCs w:val="24"/>
        </w:rPr>
        <w:t>8</w:t>
      </w:r>
      <w:r w:rsidRPr="00A51941">
        <w:rPr>
          <w:rFonts w:ascii="Times New Roman" w:hAnsi="Times New Roman" w:cs="Times New Roman"/>
          <w:noProof/>
          <w:sz w:val="24"/>
          <w:szCs w:val="24"/>
        </w:rPr>
        <w:t>(4), 377–386.</w:t>
      </w:r>
    </w:p>
    <w:p w14:paraId="4F4A9A09"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Rheingold, A. A., Zajac, K., Chapman, J. E., Patton, M., de Arellano, M., Saunders, B., &amp; </w:t>
      </w:r>
      <w:r w:rsidRPr="00A51941">
        <w:rPr>
          <w:rFonts w:ascii="Times New Roman" w:hAnsi="Times New Roman" w:cs="Times New Roman"/>
          <w:noProof/>
          <w:sz w:val="24"/>
          <w:szCs w:val="24"/>
        </w:rPr>
        <w:lastRenderedPageBreak/>
        <w:t xml:space="preserve">Kilpatrick, D. (2015). Child sexual abuse prevention training for childcare professionals: An independent multi-site randomized controlled trail of Stewards of Children. </w:t>
      </w:r>
      <w:r w:rsidRPr="00A51941">
        <w:rPr>
          <w:rFonts w:ascii="Times New Roman" w:hAnsi="Times New Roman" w:cs="Times New Roman"/>
          <w:i/>
          <w:iCs/>
          <w:noProof/>
          <w:sz w:val="24"/>
          <w:szCs w:val="24"/>
        </w:rPr>
        <w:t>Prevention Science</w:t>
      </w:r>
      <w:r w:rsidRPr="00A51941">
        <w:rPr>
          <w:rFonts w:ascii="Times New Roman" w:hAnsi="Times New Roman" w:cs="Times New Roman"/>
          <w:noProof/>
          <w:sz w:val="24"/>
          <w:szCs w:val="24"/>
        </w:rPr>
        <w:t xml:space="preserve">, </w:t>
      </w:r>
      <w:r w:rsidRPr="00A51941">
        <w:rPr>
          <w:rFonts w:ascii="Times New Roman" w:hAnsi="Times New Roman" w:cs="Times New Roman"/>
          <w:i/>
          <w:iCs/>
          <w:noProof/>
          <w:sz w:val="24"/>
          <w:szCs w:val="24"/>
        </w:rPr>
        <w:t>16</w:t>
      </w:r>
      <w:r w:rsidRPr="00A51941">
        <w:rPr>
          <w:rFonts w:ascii="Times New Roman" w:hAnsi="Times New Roman" w:cs="Times New Roman"/>
          <w:noProof/>
          <w:sz w:val="24"/>
          <w:szCs w:val="24"/>
        </w:rPr>
        <w:t>(3), 374–385. https://doi.org/10.1007/s11121-014-0499-6</w:t>
      </w:r>
    </w:p>
    <w:p w14:paraId="7C042D7F"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Rudolph, J., &amp; Zimmer-Gembeck, M. J. (2018a). Parents as protectors: A qualitative study of parents’ views on child sexual abuse prevention. </w:t>
      </w:r>
      <w:r w:rsidRPr="00A51941">
        <w:rPr>
          <w:rFonts w:ascii="Times New Roman" w:hAnsi="Times New Roman" w:cs="Times New Roman"/>
          <w:i/>
          <w:iCs/>
          <w:noProof/>
          <w:sz w:val="24"/>
          <w:szCs w:val="24"/>
        </w:rPr>
        <w:t>Child Abuse and Neglect</w:t>
      </w:r>
      <w:r w:rsidRPr="00A51941">
        <w:rPr>
          <w:rFonts w:ascii="Times New Roman" w:hAnsi="Times New Roman" w:cs="Times New Roman"/>
          <w:noProof/>
          <w:sz w:val="24"/>
          <w:szCs w:val="24"/>
        </w:rPr>
        <w:t xml:space="preserve">, </w:t>
      </w:r>
      <w:r w:rsidRPr="00A51941">
        <w:rPr>
          <w:rFonts w:ascii="Times New Roman" w:hAnsi="Times New Roman" w:cs="Times New Roman"/>
          <w:i/>
          <w:iCs/>
          <w:noProof/>
          <w:sz w:val="24"/>
          <w:szCs w:val="24"/>
        </w:rPr>
        <w:t>85</w:t>
      </w:r>
      <w:r w:rsidRPr="00A51941">
        <w:rPr>
          <w:rFonts w:ascii="Times New Roman" w:hAnsi="Times New Roman" w:cs="Times New Roman"/>
          <w:noProof/>
          <w:sz w:val="24"/>
          <w:szCs w:val="24"/>
        </w:rPr>
        <w:t>(August), 28–38. https://doi.org/10.1016/j.chiabu.2018.08.016</w:t>
      </w:r>
    </w:p>
    <w:p w14:paraId="4752665C"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Rudolph, J., &amp; Zimmer-Gembeck, M. J. (2018b). Reviewing the focus: A summary and critique of child-focused sexual abuse prevention. </w:t>
      </w:r>
      <w:r w:rsidRPr="00A51941">
        <w:rPr>
          <w:rFonts w:ascii="Times New Roman" w:hAnsi="Times New Roman" w:cs="Times New Roman"/>
          <w:i/>
          <w:iCs/>
          <w:noProof/>
          <w:sz w:val="24"/>
          <w:szCs w:val="24"/>
        </w:rPr>
        <w:t>Trauma, Violence, and Abuse</w:t>
      </w:r>
      <w:r w:rsidRPr="00A51941">
        <w:rPr>
          <w:rFonts w:ascii="Times New Roman" w:hAnsi="Times New Roman" w:cs="Times New Roman"/>
          <w:noProof/>
          <w:sz w:val="24"/>
          <w:szCs w:val="24"/>
        </w:rPr>
        <w:t xml:space="preserve">, </w:t>
      </w:r>
      <w:r w:rsidRPr="00A51941">
        <w:rPr>
          <w:rFonts w:ascii="Times New Roman" w:hAnsi="Times New Roman" w:cs="Times New Roman"/>
          <w:i/>
          <w:iCs/>
          <w:noProof/>
          <w:sz w:val="24"/>
          <w:szCs w:val="24"/>
        </w:rPr>
        <w:t>19</w:t>
      </w:r>
      <w:r w:rsidRPr="00A51941">
        <w:rPr>
          <w:rFonts w:ascii="Times New Roman" w:hAnsi="Times New Roman" w:cs="Times New Roman"/>
          <w:noProof/>
          <w:sz w:val="24"/>
          <w:szCs w:val="24"/>
        </w:rPr>
        <w:t>(5), 543–554. https://doi.org/10.1177/1524838016675478</w:t>
      </w:r>
    </w:p>
    <w:p w14:paraId="3F2DAFC3"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Rudolph, J., Zimmer-Gembeck, M. J., Shanley, D. C., &amp; Hawkins, R. (2018). Child sexual abuse prevention opportunities: Parenting, programs, and the reduction of risk. </w:t>
      </w:r>
      <w:r w:rsidRPr="00A51941">
        <w:rPr>
          <w:rFonts w:ascii="Times New Roman" w:hAnsi="Times New Roman" w:cs="Times New Roman"/>
          <w:i/>
          <w:iCs/>
          <w:noProof/>
          <w:sz w:val="24"/>
          <w:szCs w:val="24"/>
        </w:rPr>
        <w:t>Child Maltreatment</w:t>
      </w:r>
      <w:r w:rsidRPr="00A51941">
        <w:rPr>
          <w:rFonts w:ascii="Times New Roman" w:hAnsi="Times New Roman" w:cs="Times New Roman"/>
          <w:noProof/>
          <w:sz w:val="24"/>
          <w:szCs w:val="24"/>
        </w:rPr>
        <w:t xml:space="preserve">, </w:t>
      </w:r>
      <w:r w:rsidRPr="00A51941">
        <w:rPr>
          <w:rFonts w:ascii="Times New Roman" w:hAnsi="Times New Roman" w:cs="Times New Roman"/>
          <w:i/>
          <w:iCs/>
          <w:noProof/>
          <w:sz w:val="24"/>
          <w:szCs w:val="24"/>
        </w:rPr>
        <w:t>23</w:t>
      </w:r>
      <w:r w:rsidRPr="00A51941">
        <w:rPr>
          <w:rFonts w:ascii="Times New Roman" w:hAnsi="Times New Roman" w:cs="Times New Roman"/>
          <w:noProof/>
          <w:sz w:val="24"/>
          <w:szCs w:val="24"/>
        </w:rPr>
        <w:t>(1), 96–106. https://doi.org/10.1177/1077559517729479</w:t>
      </w:r>
    </w:p>
    <w:p w14:paraId="56BCAB99"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Saunders, J. B., Aasland, O. G., Babor, T. F., de la Fuente, J. R., &amp; Grant, M. (1993). Development of the Alcohol Use Disorders Screening Test (AUDIT). WHO collaborative project on early detection of persons with harmful alcohol consumption. II. </w:t>
      </w:r>
      <w:r w:rsidRPr="00A51941">
        <w:rPr>
          <w:rFonts w:ascii="Times New Roman" w:hAnsi="Times New Roman" w:cs="Times New Roman"/>
          <w:i/>
          <w:iCs/>
          <w:noProof/>
          <w:sz w:val="24"/>
          <w:szCs w:val="24"/>
        </w:rPr>
        <w:t>Addiction</w:t>
      </w:r>
      <w:r w:rsidRPr="00A51941">
        <w:rPr>
          <w:rFonts w:ascii="Times New Roman" w:hAnsi="Times New Roman" w:cs="Times New Roman"/>
          <w:noProof/>
          <w:sz w:val="24"/>
          <w:szCs w:val="24"/>
        </w:rPr>
        <w:t xml:space="preserve">, </w:t>
      </w:r>
      <w:r w:rsidRPr="00A51941">
        <w:rPr>
          <w:rFonts w:ascii="Times New Roman" w:hAnsi="Times New Roman" w:cs="Times New Roman"/>
          <w:i/>
          <w:iCs/>
          <w:noProof/>
          <w:sz w:val="24"/>
          <w:szCs w:val="24"/>
        </w:rPr>
        <w:t>88</w:t>
      </w:r>
      <w:r w:rsidRPr="00A51941">
        <w:rPr>
          <w:rFonts w:ascii="Times New Roman" w:hAnsi="Times New Roman" w:cs="Times New Roman"/>
          <w:noProof/>
          <w:sz w:val="24"/>
          <w:szCs w:val="24"/>
        </w:rPr>
        <w:t>, 791–804.</w:t>
      </w:r>
    </w:p>
    <w:p w14:paraId="1F0FEBAB"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Sedlak, A. J., Mettenburg, J., Basena, M., Petta, I., McPherson, K., Greene, A., &amp; Li, S. (2010). </w:t>
      </w:r>
      <w:r w:rsidRPr="00A51941">
        <w:rPr>
          <w:rFonts w:ascii="Times New Roman" w:hAnsi="Times New Roman" w:cs="Times New Roman"/>
          <w:i/>
          <w:iCs/>
          <w:noProof/>
          <w:sz w:val="24"/>
          <w:szCs w:val="24"/>
        </w:rPr>
        <w:t>Fourth National Incidence Study of Child Abuse and Neglect (NIS – 4): Report to Congress</w:t>
      </w:r>
      <w:r w:rsidRPr="00A51941">
        <w:rPr>
          <w:rFonts w:ascii="Times New Roman" w:hAnsi="Times New Roman" w:cs="Times New Roman"/>
          <w:noProof/>
          <w:sz w:val="24"/>
          <w:szCs w:val="24"/>
        </w:rPr>
        <w:t>. https://doi.org/10.1037/e659872010-001</w:t>
      </w:r>
    </w:p>
    <w:p w14:paraId="40D0C5DB"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Selph, S. S., Bougatsos, C., Blazina, I., &amp; Nelson, H. D. (2013). Behavioral interventions and counseling to prevent child abuse and neglect: a systematic review to update the U.S. Preventive Task Force recommendation. </w:t>
      </w:r>
      <w:r w:rsidRPr="00A51941">
        <w:rPr>
          <w:rFonts w:ascii="Times New Roman" w:hAnsi="Times New Roman" w:cs="Times New Roman"/>
          <w:i/>
          <w:iCs/>
          <w:noProof/>
          <w:sz w:val="24"/>
          <w:szCs w:val="24"/>
        </w:rPr>
        <w:t>Annals of Internal Medicine</w:t>
      </w:r>
      <w:r w:rsidRPr="00A51941">
        <w:rPr>
          <w:rFonts w:ascii="Times New Roman" w:hAnsi="Times New Roman" w:cs="Times New Roman"/>
          <w:noProof/>
          <w:sz w:val="24"/>
          <w:szCs w:val="24"/>
        </w:rPr>
        <w:t xml:space="preserve">, </w:t>
      </w:r>
      <w:r w:rsidRPr="00A51941">
        <w:rPr>
          <w:rFonts w:ascii="Times New Roman" w:hAnsi="Times New Roman" w:cs="Times New Roman"/>
          <w:i/>
          <w:iCs/>
          <w:noProof/>
          <w:sz w:val="24"/>
          <w:szCs w:val="24"/>
        </w:rPr>
        <w:t>158</w:t>
      </w:r>
      <w:r w:rsidRPr="00A51941">
        <w:rPr>
          <w:rFonts w:ascii="Times New Roman" w:hAnsi="Times New Roman" w:cs="Times New Roman"/>
          <w:noProof/>
          <w:sz w:val="24"/>
          <w:szCs w:val="24"/>
        </w:rPr>
        <w:t>(3), 179–190.</w:t>
      </w:r>
    </w:p>
    <w:p w14:paraId="24432805"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Shelton, K. K., Frick, P. J., &amp; Wootton, J. (1996). Assessment of parenting practices in families </w:t>
      </w:r>
      <w:r w:rsidRPr="00A51941">
        <w:rPr>
          <w:rFonts w:ascii="Times New Roman" w:hAnsi="Times New Roman" w:cs="Times New Roman"/>
          <w:noProof/>
          <w:sz w:val="24"/>
          <w:szCs w:val="24"/>
        </w:rPr>
        <w:lastRenderedPageBreak/>
        <w:t xml:space="preserve">of elementary school-age children. </w:t>
      </w:r>
      <w:r w:rsidRPr="00A51941">
        <w:rPr>
          <w:rFonts w:ascii="Times New Roman" w:hAnsi="Times New Roman" w:cs="Times New Roman"/>
          <w:i/>
          <w:iCs/>
          <w:noProof/>
          <w:sz w:val="24"/>
          <w:szCs w:val="24"/>
        </w:rPr>
        <w:t>Jounral of Clinical Child Psychology</w:t>
      </w:r>
      <w:r w:rsidRPr="00A51941">
        <w:rPr>
          <w:rFonts w:ascii="Times New Roman" w:hAnsi="Times New Roman" w:cs="Times New Roman"/>
          <w:noProof/>
          <w:sz w:val="24"/>
          <w:szCs w:val="24"/>
        </w:rPr>
        <w:t xml:space="preserve">, </w:t>
      </w:r>
      <w:r w:rsidRPr="00A51941">
        <w:rPr>
          <w:rFonts w:ascii="Times New Roman" w:hAnsi="Times New Roman" w:cs="Times New Roman"/>
          <w:i/>
          <w:iCs/>
          <w:noProof/>
          <w:sz w:val="24"/>
          <w:szCs w:val="24"/>
        </w:rPr>
        <w:t>25</w:t>
      </w:r>
      <w:r w:rsidRPr="00A51941">
        <w:rPr>
          <w:rFonts w:ascii="Times New Roman" w:hAnsi="Times New Roman" w:cs="Times New Roman"/>
          <w:noProof/>
          <w:sz w:val="24"/>
          <w:szCs w:val="24"/>
        </w:rPr>
        <w:t>(3), 317–329.</w:t>
      </w:r>
    </w:p>
    <w:p w14:paraId="3F6309E7"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Skinner, H. A. (1982). The Drug Abuse Screening Test. </w:t>
      </w:r>
      <w:r w:rsidRPr="00A51941">
        <w:rPr>
          <w:rFonts w:ascii="Times New Roman" w:hAnsi="Times New Roman" w:cs="Times New Roman"/>
          <w:i/>
          <w:iCs/>
          <w:noProof/>
          <w:sz w:val="24"/>
          <w:szCs w:val="24"/>
        </w:rPr>
        <w:t>Addiction</w:t>
      </w:r>
      <w:r w:rsidRPr="00A51941">
        <w:rPr>
          <w:rFonts w:ascii="Times New Roman" w:hAnsi="Times New Roman" w:cs="Times New Roman"/>
          <w:noProof/>
          <w:sz w:val="24"/>
          <w:szCs w:val="24"/>
        </w:rPr>
        <w:t xml:space="preserve">, </w:t>
      </w:r>
      <w:r w:rsidRPr="00A51941">
        <w:rPr>
          <w:rFonts w:ascii="Times New Roman" w:hAnsi="Times New Roman" w:cs="Times New Roman"/>
          <w:i/>
          <w:iCs/>
          <w:noProof/>
          <w:sz w:val="24"/>
          <w:szCs w:val="24"/>
        </w:rPr>
        <w:t>7</w:t>
      </w:r>
      <w:r w:rsidRPr="00A51941">
        <w:rPr>
          <w:rFonts w:ascii="Times New Roman" w:hAnsi="Times New Roman" w:cs="Times New Roman"/>
          <w:noProof/>
          <w:sz w:val="24"/>
          <w:szCs w:val="24"/>
        </w:rPr>
        <w:t>(4), 363–371.</w:t>
      </w:r>
    </w:p>
    <w:p w14:paraId="557FC4B3"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Snyder, H. N. (2000). </w:t>
      </w:r>
      <w:r w:rsidRPr="00A51941">
        <w:rPr>
          <w:rFonts w:ascii="Times New Roman" w:hAnsi="Times New Roman" w:cs="Times New Roman"/>
          <w:i/>
          <w:iCs/>
          <w:noProof/>
          <w:sz w:val="24"/>
          <w:szCs w:val="24"/>
        </w:rPr>
        <w:t>Sexual assault of young children as reported to law enforcement: Victim, incident, and offender characteristics</w:t>
      </w:r>
      <w:r w:rsidRPr="00A51941">
        <w:rPr>
          <w:rFonts w:ascii="Times New Roman" w:hAnsi="Times New Roman" w:cs="Times New Roman"/>
          <w:noProof/>
          <w:sz w:val="24"/>
          <w:szCs w:val="24"/>
        </w:rPr>
        <w:t>. Washington, D.C.</w:t>
      </w:r>
    </w:p>
    <w:p w14:paraId="21A9E271"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Stith, S. M., Liu, T., Davies, L. C., Boykin, E. L., Alder, M. C., Harris, J. M., … Dees, J. E. M. E. G. (2009). Risk factors in child maltreatment: A meta-analytic review of the literature. </w:t>
      </w:r>
      <w:r w:rsidRPr="00A51941">
        <w:rPr>
          <w:rFonts w:ascii="Times New Roman" w:hAnsi="Times New Roman" w:cs="Times New Roman"/>
          <w:i/>
          <w:iCs/>
          <w:noProof/>
          <w:sz w:val="24"/>
          <w:szCs w:val="24"/>
        </w:rPr>
        <w:t>Aggression and Violent Behavior</w:t>
      </w:r>
      <w:r w:rsidRPr="00A51941">
        <w:rPr>
          <w:rFonts w:ascii="Times New Roman" w:hAnsi="Times New Roman" w:cs="Times New Roman"/>
          <w:noProof/>
          <w:sz w:val="24"/>
          <w:szCs w:val="24"/>
        </w:rPr>
        <w:t xml:space="preserve">, </w:t>
      </w:r>
      <w:r w:rsidRPr="00A51941">
        <w:rPr>
          <w:rFonts w:ascii="Times New Roman" w:hAnsi="Times New Roman" w:cs="Times New Roman"/>
          <w:i/>
          <w:iCs/>
          <w:noProof/>
          <w:sz w:val="24"/>
          <w:szCs w:val="24"/>
        </w:rPr>
        <w:t>14</w:t>
      </w:r>
      <w:r w:rsidRPr="00A51941">
        <w:rPr>
          <w:rFonts w:ascii="Times New Roman" w:hAnsi="Times New Roman" w:cs="Times New Roman"/>
          <w:noProof/>
          <w:sz w:val="24"/>
          <w:szCs w:val="24"/>
        </w:rPr>
        <w:t>(1), 13–29. https://doi.org/10.1016/j.avb.2006.03.006</w:t>
      </w:r>
    </w:p>
    <w:p w14:paraId="0D60D39C"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Stoltenborgh, M., van IJzendoorn, M. H., Euser, E. M., &amp; Bakermans-Kranenburg, M. J. (2011). A global perspective on child sexual abuse: Meta-analysis of prevalence around the world. </w:t>
      </w:r>
      <w:r w:rsidRPr="00A51941">
        <w:rPr>
          <w:rFonts w:ascii="Times New Roman" w:hAnsi="Times New Roman" w:cs="Times New Roman"/>
          <w:i/>
          <w:iCs/>
          <w:noProof/>
          <w:sz w:val="24"/>
          <w:szCs w:val="24"/>
        </w:rPr>
        <w:t>Child Maltreatment</w:t>
      </w:r>
      <w:r w:rsidRPr="00A51941">
        <w:rPr>
          <w:rFonts w:ascii="Times New Roman" w:hAnsi="Times New Roman" w:cs="Times New Roman"/>
          <w:noProof/>
          <w:sz w:val="24"/>
          <w:szCs w:val="24"/>
        </w:rPr>
        <w:t xml:space="preserve">, </w:t>
      </w:r>
      <w:r w:rsidRPr="00A51941">
        <w:rPr>
          <w:rFonts w:ascii="Times New Roman" w:hAnsi="Times New Roman" w:cs="Times New Roman"/>
          <w:i/>
          <w:iCs/>
          <w:noProof/>
          <w:sz w:val="24"/>
          <w:szCs w:val="24"/>
        </w:rPr>
        <w:t>16</w:t>
      </w:r>
      <w:r w:rsidRPr="00A51941">
        <w:rPr>
          <w:rFonts w:ascii="Times New Roman" w:hAnsi="Times New Roman" w:cs="Times New Roman"/>
          <w:noProof/>
          <w:sz w:val="24"/>
          <w:szCs w:val="24"/>
        </w:rPr>
        <w:t>(2), 79–101. https://doi.org/10.1177/1077559511403920</w:t>
      </w:r>
    </w:p>
    <w:p w14:paraId="56A2B0E2"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Timmer, S., &amp; Urquiza, A. (2014). Why we think we can make things better with evidence-based practice: Theoretical and developmental context. In </w:t>
      </w:r>
      <w:r w:rsidRPr="00A51941">
        <w:rPr>
          <w:rFonts w:ascii="Times New Roman" w:hAnsi="Times New Roman" w:cs="Times New Roman"/>
          <w:i/>
          <w:iCs/>
          <w:noProof/>
          <w:sz w:val="24"/>
          <w:szCs w:val="24"/>
        </w:rPr>
        <w:t>Evidence-based approaches for the treatment of maltreated children: Considering core components and treatment effectiveness</w:t>
      </w:r>
      <w:r w:rsidRPr="00A51941">
        <w:rPr>
          <w:rFonts w:ascii="Times New Roman" w:hAnsi="Times New Roman" w:cs="Times New Roman"/>
          <w:noProof/>
          <w:sz w:val="24"/>
          <w:szCs w:val="24"/>
        </w:rPr>
        <w:t xml:space="preserve"> (Vol. 3, pp. 19–39). https://doi.org/10.1007/978-94-007-7404-9</w:t>
      </w:r>
    </w:p>
    <w:p w14:paraId="3A68A432"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Trickett, P. K., Noll, J. G., &amp; Putnam, F. W. (2011). The impact of sexual abuse on female development: Lessons from a multigenerational, longitudinal research study. </w:t>
      </w:r>
      <w:r w:rsidRPr="00A51941">
        <w:rPr>
          <w:rFonts w:ascii="Times New Roman" w:hAnsi="Times New Roman" w:cs="Times New Roman"/>
          <w:i/>
          <w:iCs/>
          <w:noProof/>
          <w:sz w:val="24"/>
          <w:szCs w:val="24"/>
        </w:rPr>
        <w:t>Development and Psychopathology</w:t>
      </w:r>
      <w:r w:rsidRPr="00A51941">
        <w:rPr>
          <w:rFonts w:ascii="Times New Roman" w:hAnsi="Times New Roman" w:cs="Times New Roman"/>
          <w:noProof/>
          <w:sz w:val="24"/>
          <w:szCs w:val="24"/>
        </w:rPr>
        <w:t xml:space="preserve">, </w:t>
      </w:r>
      <w:r w:rsidRPr="00A51941">
        <w:rPr>
          <w:rFonts w:ascii="Times New Roman" w:hAnsi="Times New Roman" w:cs="Times New Roman"/>
          <w:i/>
          <w:iCs/>
          <w:noProof/>
          <w:sz w:val="24"/>
          <w:szCs w:val="24"/>
        </w:rPr>
        <w:t>23</w:t>
      </w:r>
      <w:r w:rsidRPr="00A51941">
        <w:rPr>
          <w:rFonts w:ascii="Times New Roman" w:hAnsi="Times New Roman" w:cs="Times New Roman"/>
          <w:noProof/>
          <w:sz w:val="24"/>
          <w:szCs w:val="24"/>
        </w:rPr>
        <w:t>(2), 453–476. https://doi.org/10.1017/S0954579411000174</w:t>
      </w:r>
    </w:p>
    <w:p w14:paraId="5B6FE0B0"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U.S Department of Health &amp; Human Services, Administration on Children and Families, Administration on Children Youth and Families, &amp; Children’s Bureau. (2020). </w:t>
      </w:r>
      <w:r w:rsidRPr="00A51941">
        <w:rPr>
          <w:rFonts w:ascii="Times New Roman" w:hAnsi="Times New Roman" w:cs="Times New Roman"/>
          <w:i/>
          <w:iCs/>
          <w:noProof/>
          <w:sz w:val="24"/>
          <w:szCs w:val="24"/>
        </w:rPr>
        <w:t>Child Maltreatment 2018</w:t>
      </w:r>
      <w:r w:rsidRPr="00A51941">
        <w:rPr>
          <w:rFonts w:ascii="Times New Roman" w:hAnsi="Times New Roman" w:cs="Times New Roman"/>
          <w:noProof/>
          <w:sz w:val="24"/>
          <w:szCs w:val="24"/>
        </w:rPr>
        <w:t>. Retrieved from https://www.acf.hhs.gov/cb/research-data-technology/statistics-research/child-maltreatment</w:t>
      </w:r>
    </w:p>
    <w:p w14:paraId="6E0BA790"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Vachon, D. D., Krueger, R. F., Rogosch, F. A., &amp; Cicchetti, D. (2015). Assessment of the Harmful Psychiatric and Behavioral Effects of Different Forms of Child Maltreatment. </w:t>
      </w:r>
      <w:r w:rsidRPr="00A51941">
        <w:rPr>
          <w:rFonts w:ascii="Times New Roman" w:hAnsi="Times New Roman" w:cs="Times New Roman"/>
          <w:i/>
          <w:iCs/>
          <w:noProof/>
          <w:sz w:val="24"/>
          <w:szCs w:val="24"/>
        </w:rPr>
        <w:lastRenderedPageBreak/>
        <w:t>JAMA Psychiatry</w:t>
      </w:r>
      <w:r w:rsidRPr="00A51941">
        <w:rPr>
          <w:rFonts w:ascii="Times New Roman" w:hAnsi="Times New Roman" w:cs="Times New Roman"/>
          <w:noProof/>
          <w:sz w:val="24"/>
          <w:szCs w:val="24"/>
        </w:rPr>
        <w:t>, E1–E9. https://doi.org/10.1001/jamapsychiatry.2015.1792</w:t>
      </w:r>
    </w:p>
    <w:p w14:paraId="5028212B"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Walsh, K., Zwi, K., Woolfenden, S., &amp; Shlonsky, A. (2018). School-based education programs for the prevention of child sexual abuse: A Cochrane systematic review and meta-analysis. </w:t>
      </w:r>
      <w:r w:rsidRPr="00A51941">
        <w:rPr>
          <w:rFonts w:ascii="Times New Roman" w:hAnsi="Times New Roman" w:cs="Times New Roman"/>
          <w:i/>
          <w:iCs/>
          <w:noProof/>
          <w:sz w:val="24"/>
          <w:szCs w:val="24"/>
        </w:rPr>
        <w:t>Research on Social Work Practice</w:t>
      </w:r>
      <w:r w:rsidRPr="00A51941">
        <w:rPr>
          <w:rFonts w:ascii="Times New Roman" w:hAnsi="Times New Roman" w:cs="Times New Roman"/>
          <w:noProof/>
          <w:sz w:val="24"/>
          <w:szCs w:val="24"/>
        </w:rPr>
        <w:t xml:space="preserve">, </w:t>
      </w:r>
      <w:r w:rsidRPr="00A51941">
        <w:rPr>
          <w:rFonts w:ascii="Times New Roman" w:hAnsi="Times New Roman" w:cs="Times New Roman"/>
          <w:i/>
          <w:iCs/>
          <w:noProof/>
          <w:sz w:val="24"/>
          <w:szCs w:val="24"/>
        </w:rPr>
        <w:t>28</w:t>
      </w:r>
      <w:r w:rsidRPr="00A51941">
        <w:rPr>
          <w:rFonts w:ascii="Times New Roman" w:hAnsi="Times New Roman" w:cs="Times New Roman"/>
          <w:noProof/>
          <w:sz w:val="24"/>
          <w:szCs w:val="24"/>
        </w:rPr>
        <w:t>(1), 33–55. https://doi.org/10.1177/1049731515619705</w:t>
      </w:r>
    </w:p>
    <w:p w14:paraId="2E8D5127"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Wandersman, A., &amp; Florin, P. (2003). Community interventions and effective prevention. </w:t>
      </w:r>
      <w:r w:rsidRPr="00A51941">
        <w:rPr>
          <w:rFonts w:ascii="Times New Roman" w:hAnsi="Times New Roman" w:cs="Times New Roman"/>
          <w:i/>
          <w:iCs/>
          <w:noProof/>
          <w:sz w:val="24"/>
          <w:szCs w:val="24"/>
        </w:rPr>
        <w:t>American Psychologist</w:t>
      </w:r>
      <w:r w:rsidRPr="00A51941">
        <w:rPr>
          <w:rFonts w:ascii="Times New Roman" w:hAnsi="Times New Roman" w:cs="Times New Roman"/>
          <w:noProof/>
          <w:sz w:val="24"/>
          <w:szCs w:val="24"/>
        </w:rPr>
        <w:t xml:space="preserve">, </w:t>
      </w:r>
      <w:r w:rsidRPr="00A51941">
        <w:rPr>
          <w:rFonts w:ascii="Times New Roman" w:hAnsi="Times New Roman" w:cs="Times New Roman"/>
          <w:i/>
          <w:iCs/>
          <w:noProof/>
          <w:sz w:val="24"/>
          <w:szCs w:val="24"/>
        </w:rPr>
        <w:t>58</w:t>
      </w:r>
      <w:r w:rsidRPr="00A51941">
        <w:rPr>
          <w:rFonts w:ascii="Times New Roman" w:hAnsi="Times New Roman" w:cs="Times New Roman"/>
          <w:noProof/>
          <w:sz w:val="24"/>
          <w:szCs w:val="24"/>
        </w:rPr>
        <w:t>(6/7), 441–448. https://doi.org/10.1037/0003-066X.58.6-7.441</w:t>
      </w:r>
    </w:p>
    <w:p w14:paraId="7E6F1989"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White, C., Shanley, D. C., Zimmer-Gembeck, M. J., Walsh, K., Hawkins, R., Lines, K., &amp; Webb, H. (2018). Promoting young children’s interpersonal safety knowledge, intentions, confidence, and protective behavior skills: Outcomes of a randomized controlled trial. </w:t>
      </w:r>
      <w:r w:rsidRPr="00A51941">
        <w:rPr>
          <w:rFonts w:ascii="Times New Roman" w:hAnsi="Times New Roman" w:cs="Times New Roman"/>
          <w:i/>
          <w:iCs/>
          <w:noProof/>
          <w:sz w:val="24"/>
          <w:szCs w:val="24"/>
        </w:rPr>
        <w:t>Child Abuse and Neglect</w:t>
      </w:r>
      <w:r w:rsidRPr="00A51941">
        <w:rPr>
          <w:rFonts w:ascii="Times New Roman" w:hAnsi="Times New Roman" w:cs="Times New Roman"/>
          <w:noProof/>
          <w:sz w:val="24"/>
          <w:szCs w:val="24"/>
        </w:rPr>
        <w:t xml:space="preserve">, </w:t>
      </w:r>
      <w:r w:rsidRPr="00A51941">
        <w:rPr>
          <w:rFonts w:ascii="Times New Roman" w:hAnsi="Times New Roman" w:cs="Times New Roman"/>
          <w:i/>
          <w:iCs/>
          <w:noProof/>
          <w:sz w:val="24"/>
          <w:szCs w:val="24"/>
        </w:rPr>
        <w:t>82</w:t>
      </w:r>
      <w:r w:rsidRPr="00A51941">
        <w:rPr>
          <w:rFonts w:ascii="Times New Roman" w:hAnsi="Times New Roman" w:cs="Times New Roman"/>
          <w:noProof/>
          <w:sz w:val="24"/>
          <w:szCs w:val="24"/>
        </w:rPr>
        <w:t>(May), 144–155. https://doi.org/10.1016/j.chiabu.2018.05.024</w:t>
      </w:r>
    </w:p>
    <w:p w14:paraId="07338AD8"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Wurtele, S. K. (2009). Preventing sexual abuse of children in the twenty-first century: preparing for challenges and opportunities. </w:t>
      </w:r>
      <w:r w:rsidRPr="00A51941">
        <w:rPr>
          <w:rFonts w:ascii="Times New Roman" w:hAnsi="Times New Roman" w:cs="Times New Roman"/>
          <w:i/>
          <w:iCs/>
          <w:noProof/>
          <w:sz w:val="24"/>
          <w:szCs w:val="24"/>
        </w:rPr>
        <w:t>Journal of Child Sexual Abuse</w:t>
      </w:r>
      <w:r w:rsidRPr="00A51941">
        <w:rPr>
          <w:rFonts w:ascii="Times New Roman" w:hAnsi="Times New Roman" w:cs="Times New Roman"/>
          <w:noProof/>
          <w:sz w:val="24"/>
          <w:szCs w:val="24"/>
        </w:rPr>
        <w:t xml:space="preserve">, </w:t>
      </w:r>
      <w:r w:rsidRPr="00A51941">
        <w:rPr>
          <w:rFonts w:ascii="Times New Roman" w:hAnsi="Times New Roman" w:cs="Times New Roman"/>
          <w:i/>
          <w:iCs/>
          <w:noProof/>
          <w:sz w:val="24"/>
          <w:szCs w:val="24"/>
        </w:rPr>
        <w:t>18</w:t>
      </w:r>
      <w:r w:rsidRPr="00A51941">
        <w:rPr>
          <w:rFonts w:ascii="Times New Roman" w:hAnsi="Times New Roman" w:cs="Times New Roman"/>
          <w:noProof/>
          <w:sz w:val="24"/>
          <w:szCs w:val="24"/>
        </w:rPr>
        <w:t>(1), 1–18. https://doi.org/10.1080/10538710802584650</w:t>
      </w:r>
    </w:p>
    <w:p w14:paraId="5F622D80"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Wurtele, S. K., Moreno, T., &amp; Kenny, M. C. (2008). Evaluation of a Sexual Abuse Prevention Workshop for Parents of Young Children. </w:t>
      </w:r>
      <w:r w:rsidRPr="00A51941">
        <w:rPr>
          <w:rFonts w:ascii="Times New Roman" w:hAnsi="Times New Roman" w:cs="Times New Roman"/>
          <w:i/>
          <w:iCs/>
          <w:noProof/>
          <w:sz w:val="24"/>
          <w:szCs w:val="24"/>
        </w:rPr>
        <w:t>Journal of Child &amp; Adolescent Trauma</w:t>
      </w:r>
      <w:r w:rsidRPr="00A51941">
        <w:rPr>
          <w:rFonts w:ascii="Times New Roman" w:hAnsi="Times New Roman" w:cs="Times New Roman"/>
          <w:noProof/>
          <w:sz w:val="24"/>
          <w:szCs w:val="24"/>
        </w:rPr>
        <w:t xml:space="preserve">, </w:t>
      </w:r>
      <w:r w:rsidRPr="00A51941">
        <w:rPr>
          <w:rFonts w:ascii="Times New Roman" w:hAnsi="Times New Roman" w:cs="Times New Roman"/>
          <w:i/>
          <w:iCs/>
          <w:noProof/>
          <w:sz w:val="24"/>
          <w:szCs w:val="24"/>
        </w:rPr>
        <w:t>1</w:t>
      </w:r>
      <w:r w:rsidRPr="00A51941">
        <w:rPr>
          <w:rFonts w:ascii="Times New Roman" w:hAnsi="Times New Roman" w:cs="Times New Roman"/>
          <w:noProof/>
          <w:sz w:val="24"/>
          <w:szCs w:val="24"/>
        </w:rPr>
        <w:t>(4), 331–340. https://doi.org/10.1080/19361520802505768</w:t>
      </w:r>
    </w:p>
    <w:p w14:paraId="547867B5"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Xie, Q. W., Qiao, D. P., &amp; Wang, X. L. (2016). Parent-involved prevention of child sexual abuse: A qualitative exploration of parents’ perceptions and practices in Beijing. </w:t>
      </w:r>
      <w:r w:rsidRPr="00A51941">
        <w:rPr>
          <w:rFonts w:ascii="Times New Roman" w:hAnsi="Times New Roman" w:cs="Times New Roman"/>
          <w:i/>
          <w:iCs/>
          <w:noProof/>
          <w:sz w:val="24"/>
          <w:szCs w:val="24"/>
        </w:rPr>
        <w:t>Journal of Child and Family Studies</w:t>
      </w:r>
      <w:r w:rsidRPr="00A51941">
        <w:rPr>
          <w:rFonts w:ascii="Times New Roman" w:hAnsi="Times New Roman" w:cs="Times New Roman"/>
          <w:noProof/>
          <w:sz w:val="24"/>
          <w:szCs w:val="24"/>
        </w:rPr>
        <w:t xml:space="preserve">, </w:t>
      </w:r>
      <w:r w:rsidRPr="00A51941">
        <w:rPr>
          <w:rFonts w:ascii="Times New Roman" w:hAnsi="Times New Roman" w:cs="Times New Roman"/>
          <w:i/>
          <w:iCs/>
          <w:noProof/>
          <w:sz w:val="24"/>
          <w:szCs w:val="24"/>
        </w:rPr>
        <w:t>25</w:t>
      </w:r>
      <w:r w:rsidRPr="00A51941">
        <w:rPr>
          <w:rFonts w:ascii="Times New Roman" w:hAnsi="Times New Roman" w:cs="Times New Roman"/>
          <w:noProof/>
          <w:sz w:val="24"/>
          <w:szCs w:val="24"/>
        </w:rPr>
        <w:t>(3), 999–1010. https://doi.org/10.1007/s10826-015-0277-5</w:t>
      </w:r>
    </w:p>
    <w:p w14:paraId="2A2F6D49" w14:textId="77777777" w:rsidR="007D3D49" w:rsidRPr="00A51941" w:rsidRDefault="007D3D49" w:rsidP="007D3D49">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51941">
        <w:rPr>
          <w:rFonts w:ascii="Times New Roman" w:hAnsi="Times New Roman" w:cs="Times New Roman"/>
          <w:noProof/>
          <w:sz w:val="24"/>
          <w:szCs w:val="24"/>
        </w:rPr>
        <w:t xml:space="preserve">Zigler, E., Pfannenstiel, J. C., &amp; Seitz, V. (2008). The Parents as Teachers program and school success: A replication and extension. </w:t>
      </w:r>
      <w:r w:rsidRPr="00A51941">
        <w:rPr>
          <w:rFonts w:ascii="Times New Roman" w:hAnsi="Times New Roman" w:cs="Times New Roman"/>
          <w:i/>
          <w:iCs/>
          <w:noProof/>
          <w:sz w:val="24"/>
          <w:szCs w:val="24"/>
        </w:rPr>
        <w:t>Journal of Primary Prevention</w:t>
      </w:r>
      <w:r w:rsidRPr="00A51941">
        <w:rPr>
          <w:rFonts w:ascii="Times New Roman" w:hAnsi="Times New Roman" w:cs="Times New Roman"/>
          <w:noProof/>
          <w:sz w:val="24"/>
          <w:szCs w:val="24"/>
        </w:rPr>
        <w:t xml:space="preserve">, </w:t>
      </w:r>
      <w:r w:rsidRPr="00A51941">
        <w:rPr>
          <w:rFonts w:ascii="Times New Roman" w:hAnsi="Times New Roman" w:cs="Times New Roman"/>
          <w:i/>
          <w:iCs/>
          <w:noProof/>
          <w:sz w:val="24"/>
          <w:szCs w:val="24"/>
        </w:rPr>
        <w:t>29</w:t>
      </w:r>
      <w:r w:rsidRPr="00A51941">
        <w:rPr>
          <w:rFonts w:ascii="Times New Roman" w:hAnsi="Times New Roman" w:cs="Times New Roman"/>
          <w:noProof/>
          <w:sz w:val="24"/>
          <w:szCs w:val="24"/>
        </w:rPr>
        <w:t>(2), 103–120. https://doi.org/10.1007/s10935-008-0132-1</w:t>
      </w:r>
    </w:p>
    <w:p w14:paraId="78805DE3" w14:textId="77777777" w:rsidR="007D3D49" w:rsidRPr="00FA50BE" w:rsidRDefault="007D3D49" w:rsidP="007D3D49">
      <w:pPr>
        <w:spacing w:after="0" w:line="480" w:lineRule="auto"/>
        <w:rPr>
          <w:rFonts w:ascii="Times New Roman" w:hAnsi="Times New Roman" w:cs="Times New Roman"/>
        </w:rPr>
        <w:sectPr w:rsidR="007D3D49" w:rsidRPr="00FA50BE" w:rsidSect="00E91DFB">
          <w:headerReference w:type="default" r:id="rId8"/>
          <w:footerReference w:type="default" r:id="rId9"/>
          <w:pgSz w:w="12240" w:h="15840"/>
          <w:pgMar w:top="1440" w:right="1440" w:bottom="1440" w:left="1440" w:header="720" w:footer="720" w:gutter="0"/>
          <w:cols w:space="720"/>
          <w:titlePg/>
          <w:docGrid w:linePitch="360"/>
        </w:sectPr>
      </w:pPr>
      <w:r w:rsidRPr="00A51941">
        <w:rPr>
          <w:rFonts w:ascii="Times New Roman" w:hAnsi="Times New Roman" w:cs="Times New Roman"/>
          <w:sz w:val="24"/>
          <w:szCs w:val="24"/>
        </w:rPr>
        <w:fldChar w:fldCharType="end"/>
      </w:r>
    </w:p>
    <w:p w14:paraId="6F9EBB88" w14:textId="77777777" w:rsidR="007D3D49" w:rsidRPr="00FA50BE" w:rsidRDefault="007D3D49" w:rsidP="007D3D49">
      <w:pPr>
        <w:rPr>
          <w:rFonts w:ascii="Times New Roman" w:hAnsi="Times New Roman" w:cs="Times New Roman"/>
          <w:b/>
        </w:rPr>
        <w:sectPr w:rsidR="007D3D49" w:rsidRPr="00FA50BE" w:rsidSect="005F222C">
          <w:type w:val="continuous"/>
          <w:pgSz w:w="12240" w:h="15840"/>
          <w:pgMar w:top="1440" w:right="1440" w:bottom="1440" w:left="1440" w:header="720" w:footer="720" w:gutter="0"/>
          <w:cols w:space="720"/>
          <w:docGrid w:linePitch="360"/>
        </w:sectPr>
      </w:pPr>
    </w:p>
    <w:p w14:paraId="378D4A2A" w14:textId="77777777" w:rsidR="007D3D49" w:rsidRPr="00FA50BE" w:rsidRDefault="007D3D49" w:rsidP="007D3D49">
      <w:pPr>
        <w:rPr>
          <w:rFonts w:ascii="Times New Roman" w:hAnsi="Times New Roman" w:cs="Times New Roman"/>
          <w:b/>
        </w:rPr>
      </w:pPr>
      <w:r w:rsidRPr="00FA50BE">
        <w:rPr>
          <w:rFonts w:ascii="Times New Roman" w:hAnsi="Times New Roman" w:cs="Times New Roman"/>
          <w:b/>
        </w:rPr>
        <w:lastRenderedPageBreak/>
        <w:t>Figure 1</w:t>
      </w:r>
    </w:p>
    <w:p w14:paraId="42630D8A" w14:textId="77777777" w:rsidR="007D3D49" w:rsidRPr="00FA0EE9" w:rsidRDefault="007D3D49" w:rsidP="007D3D49">
      <w:pPr>
        <w:rPr>
          <w:rFonts w:ascii="Times New Roman" w:hAnsi="Times New Roman" w:cs="Times New Roman"/>
          <w:bCs/>
        </w:rPr>
      </w:pPr>
      <w:r w:rsidRPr="007F763E">
        <w:rPr>
          <w:rFonts w:ascii="Times New Roman" w:hAnsi="Times New Roman" w:cs="Times New Roman"/>
          <w:bCs/>
          <w:i/>
          <w:iCs/>
        </w:rPr>
        <w:t>Assessment Timeline and Measure Schedule for Cluster Randomized Trial</w:t>
      </w:r>
    </w:p>
    <w:p w14:paraId="6D0B50A1" w14:textId="77777777" w:rsidR="007D3D49" w:rsidRPr="00FA50BE" w:rsidRDefault="007D3D49" w:rsidP="007D3D49">
      <w:pPr>
        <w:rPr>
          <w:noProof/>
        </w:rPr>
      </w:pPr>
      <w:r w:rsidRPr="00FA50BE">
        <w:rPr>
          <w:noProof/>
        </w:rPr>
        <w:drawing>
          <wp:inline distT="0" distB="0" distL="0" distR="0" wp14:anchorId="1CE1D730" wp14:editId="1F091CFD">
            <wp:extent cx="8180614" cy="2812469"/>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33448" cy="2830633"/>
                    </a:xfrm>
                    <a:prstGeom prst="rect">
                      <a:avLst/>
                    </a:prstGeom>
                    <a:noFill/>
                  </pic:spPr>
                </pic:pic>
              </a:graphicData>
            </a:graphic>
          </wp:inline>
        </w:drawing>
      </w:r>
    </w:p>
    <w:p w14:paraId="66212719" w14:textId="77777777" w:rsidR="007D3D49" w:rsidRPr="00FA50BE" w:rsidRDefault="007D3D49" w:rsidP="007D3D49">
      <w:pPr>
        <w:rPr>
          <w:noProof/>
        </w:rPr>
      </w:pPr>
    </w:p>
    <w:p w14:paraId="20E5D89A" w14:textId="77777777" w:rsidR="007D3D49" w:rsidRPr="007F763E" w:rsidRDefault="007D3D49" w:rsidP="007D3D49">
      <w:pPr>
        <w:rPr>
          <w:noProof/>
        </w:rPr>
      </w:pPr>
    </w:p>
    <w:p w14:paraId="2CB362B7" w14:textId="77777777" w:rsidR="007D3D49" w:rsidRPr="00FA0EE9" w:rsidRDefault="007D3D49" w:rsidP="007D3D49">
      <w:pPr>
        <w:rPr>
          <w:noProof/>
        </w:rPr>
      </w:pPr>
    </w:p>
    <w:p w14:paraId="78DEC6FE" w14:textId="77777777" w:rsidR="007D3D49" w:rsidRPr="00635DF7" w:rsidRDefault="007D3D49" w:rsidP="007D3D49">
      <w:pPr>
        <w:rPr>
          <w:rFonts w:ascii="Times New Roman" w:hAnsi="Times New Roman" w:cs="Times New Roman"/>
          <w:b/>
        </w:rPr>
        <w:sectPr w:rsidR="007D3D49" w:rsidRPr="00635DF7" w:rsidSect="005F222C">
          <w:pgSz w:w="15840" w:h="12240" w:orient="landscape"/>
          <w:pgMar w:top="1440" w:right="1440" w:bottom="1440" w:left="1440" w:header="720" w:footer="720" w:gutter="0"/>
          <w:cols w:space="720"/>
          <w:docGrid w:linePitch="360"/>
        </w:sectPr>
      </w:pPr>
    </w:p>
    <w:p w14:paraId="1584E72D" w14:textId="77777777" w:rsidR="007D3D49" w:rsidRPr="00FA50BE" w:rsidRDefault="007D3D49" w:rsidP="007D3D49">
      <w:pPr>
        <w:rPr>
          <w:rFonts w:ascii="Times New Roman" w:hAnsi="Times New Roman" w:cs="Times New Roman"/>
          <w:b/>
          <w:bCs/>
        </w:rPr>
      </w:pPr>
      <w:r w:rsidRPr="00FA50BE">
        <w:rPr>
          <w:rFonts w:ascii="Times New Roman" w:hAnsi="Times New Roman" w:cs="Times New Roman"/>
          <w:b/>
          <w:bCs/>
        </w:rPr>
        <w:lastRenderedPageBreak/>
        <w:t>Figure 2</w:t>
      </w:r>
    </w:p>
    <w:p w14:paraId="26A56837" w14:textId="77777777" w:rsidR="007D3D49" w:rsidRPr="00FA0EE9" w:rsidRDefault="007D3D49" w:rsidP="007D3D49">
      <w:pPr>
        <w:rPr>
          <w:rFonts w:ascii="Times New Roman" w:hAnsi="Times New Roman" w:cs="Times New Roman"/>
        </w:rPr>
      </w:pPr>
      <w:r w:rsidRPr="007F763E">
        <w:rPr>
          <w:rFonts w:ascii="Times New Roman" w:hAnsi="Times New Roman" w:cs="Times New Roman"/>
          <w:i/>
          <w:iCs/>
        </w:rPr>
        <w:t xml:space="preserve">Raw Means </w:t>
      </w:r>
      <w:r w:rsidRPr="00FA0EE9">
        <w:rPr>
          <w:rFonts w:ascii="Times New Roman" w:hAnsi="Times New Roman" w:cs="Times New Roman"/>
          <w:i/>
          <w:iCs/>
        </w:rPr>
        <w:t>on the Awareness Subscale of the Assessment of SmartParents’ Knowledge</w:t>
      </w:r>
    </w:p>
    <w:p w14:paraId="329BC8AB" w14:textId="77777777" w:rsidR="007D3D49" w:rsidRPr="00FA50BE" w:rsidRDefault="007D3D49" w:rsidP="007D3D49">
      <w:pPr>
        <w:rPr>
          <w:rFonts w:ascii="Times New Roman" w:hAnsi="Times New Roman" w:cs="Times New Roman"/>
          <w:bCs/>
          <w:sz w:val="24"/>
          <w:szCs w:val="24"/>
        </w:rPr>
      </w:pPr>
      <w:r w:rsidRPr="00FA50BE">
        <w:rPr>
          <w:rFonts w:ascii="Times New Roman" w:hAnsi="Times New Roman" w:cs="Times New Roman"/>
          <w:bCs/>
          <w:noProof/>
          <w:sz w:val="24"/>
          <w:szCs w:val="24"/>
        </w:rPr>
        <w:drawing>
          <wp:inline distT="0" distB="0" distL="0" distR="0" wp14:anchorId="3BA9D380" wp14:editId="7D23BB2D">
            <wp:extent cx="5899487" cy="3309257"/>
            <wp:effectExtent l="0" t="0" r="6350" b="571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9571" cy="3314913"/>
                    </a:xfrm>
                    <a:prstGeom prst="rect">
                      <a:avLst/>
                    </a:prstGeom>
                    <a:noFill/>
                  </pic:spPr>
                </pic:pic>
              </a:graphicData>
            </a:graphic>
          </wp:inline>
        </w:drawing>
      </w:r>
    </w:p>
    <w:p w14:paraId="1D6E14ED" w14:textId="77777777" w:rsidR="007D3D49" w:rsidRPr="00635DF7" w:rsidRDefault="007D3D49" w:rsidP="007D3D49">
      <w:pPr>
        <w:rPr>
          <w:rFonts w:ascii="Times New Roman" w:hAnsi="Times New Roman" w:cs="Times New Roman"/>
          <w:bCs/>
          <w:sz w:val="20"/>
          <w:szCs w:val="24"/>
        </w:rPr>
      </w:pPr>
      <w:r w:rsidRPr="00FA50BE">
        <w:rPr>
          <w:rFonts w:ascii="Times New Roman" w:hAnsi="Times New Roman" w:cs="Times New Roman"/>
          <w:bCs/>
          <w:i/>
          <w:sz w:val="20"/>
          <w:szCs w:val="24"/>
        </w:rPr>
        <w:t>Note:</w:t>
      </w:r>
      <w:r w:rsidRPr="00FA50BE">
        <w:rPr>
          <w:rFonts w:ascii="Times New Roman" w:hAnsi="Times New Roman" w:cs="Times New Roman"/>
          <w:bCs/>
          <w:sz w:val="20"/>
          <w:szCs w:val="24"/>
        </w:rPr>
        <w:t xml:space="preserve"> Unconditional model indicates a linear increase in awareness over time </w:t>
      </w:r>
      <w:r w:rsidRPr="00FA50BE">
        <w:rPr>
          <w:rFonts w:ascii="Times New Roman" w:hAnsi="Times New Roman" w:cs="Times New Roman"/>
          <w:sz w:val="20"/>
          <w:szCs w:val="24"/>
        </w:rPr>
        <w:t>(</w:t>
      </w:r>
      <w:proofErr w:type="gramStart"/>
      <w:r w:rsidRPr="007F763E">
        <w:rPr>
          <w:rFonts w:ascii="Times New Roman" w:hAnsi="Times New Roman" w:cs="Times New Roman"/>
          <w:i/>
          <w:sz w:val="20"/>
          <w:szCs w:val="24"/>
        </w:rPr>
        <w:t>F</w:t>
      </w:r>
      <w:r w:rsidRPr="007F763E">
        <w:rPr>
          <w:rFonts w:ascii="Times New Roman" w:hAnsi="Times New Roman" w:cs="Times New Roman"/>
          <w:i/>
          <w:sz w:val="20"/>
          <w:szCs w:val="24"/>
          <w:vertAlign w:val="subscript"/>
        </w:rPr>
        <w:t>[</w:t>
      </w:r>
      <w:proofErr w:type="gramEnd"/>
      <w:r w:rsidRPr="007F763E">
        <w:rPr>
          <w:rFonts w:ascii="Times New Roman" w:hAnsi="Times New Roman" w:cs="Times New Roman"/>
          <w:i/>
          <w:sz w:val="20"/>
          <w:szCs w:val="24"/>
          <w:vertAlign w:val="subscript"/>
        </w:rPr>
        <w:t>1, 282]</w:t>
      </w:r>
      <w:r w:rsidRPr="00FA0EE9">
        <w:rPr>
          <w:rFonts w:ascii="Times New Roman" w:hAnsi="Times New Roman" w:cs="Times New Roman"/>
          <w:sz w:val="20"/>
          <w:szCs w:val="24"/>
        </w:rPr>
        <w:t xml:space="preserve"> = 18.05, </w:t>
      </w:r>
      <w:r w:rsidRPr="00FA0EE9">
        <w:rPr>
          <w:rFonts w:ascii="Times New Roman" w:hAnsi="Times New Roman" w:cs="Times New Roman"/>
          <w:i/>
          <w:sz w:val="20"/>
          <w:szCs w:val="24"/>
        </w:rPr>
        <w:t>p</w:t>
      </w:r>
      <w:r w:rsidRPr="00FA0EE9">
        <w:rPr>
          <w:rFonts w:ascii="Times New Roman" w:hAnsi="Times New Roman" w:cs="Times New Roman"/>
          <w:sz w:val="20"/>
          <w:szCs w:val="24"/>
        </w:rPr>
        <w:t xml:space="preserve"> &lt; 0.001). The conditional model indicated a significant Group</w:t>
      </w:r>
      <w:r w:rsidRPr="00FC07A4">
        <w:rPr>
          <w:rFonts w:ascii="Times New Roman" w:hAnsi="Times New Roman" w:cs="Times New Roman"/>
          <w:sz w:val="20"/>
          <w:szCs w:val="24"/>
        </w:rPr>
        <w:t xml:space="preserve"> X Time interaction effect (</w:t>
      </w:r>
      <w:r w:rsidRPr="00FC07A4">
        <w:rPr>
          <w:rFonts w:ascii="Times New Roman" w:hAnsi="Times New Roman" w:cs="Times New Roman"/>
          <w:i/>
          <w:sz w:val="20"/>
          <w:szCs w:val="24"/>
        </w:rPr>
        <w:t>F</w:t>
      </w:r>
      <w:r w:rsidRPr="0056316E">
        <w:rPr>
          <w:rFonts w:ascii="Times New Roman" w:hAnsi="Times New Roman" w:cs="Times New Roman"/>
          <w:i/>
          <w:sz w:val="20"/>
          <w:szCs w:val="24"/>
          <w:vertAlign w:val="subscript"/>
        </w:rPr>
        <w:t>[1, 254]</w:t>
      </w:r>
      <w:r w:rsidRPr="0056316E">
        <w:rPr>
          <w:rFonts w:ascii="Times New Roman" w:hAnsi="Times New Roman" w:cs="Times New Roman"/>
          <w:sz w:val="20"/>
          <w:szCs w:val="24"/>
        </w:rPr>
        <w:t xml:space="preserve"> = 4.53, </w:t>
      </w:r>
      <w:r w:rsidRPr="00635DF7">
        <w:rPr>
          <w:rFonts w:ascii="Times New Roman" w:hAnsi="Times New Roman" w:cs="Times New Roman"/>
          <w:i/>
          <w:sz w:val="20"/>
          <w:szCs w:val="24"/>
        </w:rPr>
        <w:t>p</w:t>
      </w:r>
      <w:r w:rsidRPr="00635DF7">
        <w:rPr>
          <w:rFonts w:ascii="Times New Roman" w:hAnsi="Times New Roman" w:cs="Times New Roman"/>
          <w:sz w:val="20"/>
          <w:szCs w:val="24"/>
        </w:rPr>
        <w:t xml:space="preserve"> = 0.034), controlling for between-group differences in demographic characteristics (marital status, age, educational attainment, income, receipt of aid, and perceived social support). Area under the curve analyses indicate a significant group difference (</w:t>
      </w:r>
      <w:proofErr w:type="gramStart"/>
      <w:r w:rsidRPr="00635DF7">
        <w:rPr>
          <w:rFonts w:ascii="Times New Roman" w:hAnsi="Times New Roman" w:cs="Times New Roman"/>
          <w:i/>
          <w:sz w:val="20"/>
          <w:szCs w:val="24"/>
        </w:rPr>
        <w:t>F</w:t>
      </w:r>
      <w:r w:rsidRPr="00635DF7">
        <w:rPr>
          <w:rFonts w:ascii="Times New Roman" w:hAnsi="Times New Roman" w:cs="Times New Roman"/>
          <w:i/>
          <w:sz w:val="20"/>
          <w:szCs w:val="24"/>
          <w:vertAlign w:val="subscript"/>
        </w:rPr>
        <w:t>[</w:t>
      </w:r>
      <w:proofErr w:type="gramEnd"/>
      <w:r w:rsidRPr="00635DF7">
        <w:rPr>
          <w:rFonts w:ascii="Times New Roman" w:hAnsi="Times New Roman" w:cs="Times New Roman"/>
          <w:i/>
          <w:sz w:val="20"/>
          <w:szCs w:val="24"/>
          <w:vertAlign w:val="subscript"/>
        </w:rPr>
        <w:t>1, 89]</w:t>
      </w:r>
      <w:r w:rsidRPr="00635DF7">
        <w:rPr>
          <w:rFonts w:ascii="Times New Roman" w:hAnsi="Times New Roman" w:cs="Times New Roman"/>
          <w:sz w:val="20"/>
          <w:szCs w:val="24"/>
        </w:rPr>
        <w:t xml:space="preserve"> = 5.68, </w:t>
      </w:r>
      <w:r w:rsidRPr="00635DF7">
        <w:rPr>
          <w:rFonts w:ascii="Times New Roman" w:hAnsi="Times New Roman" w:cs="Times New Roman"/>
          <w:i/>
          <w:sz w:val="20"/>
          <w:szCs w:val="24"/>
        </w:rPr>
        <w:t>p</w:t>
      </w:r>
      <w:r w:rsidRPr="00635DF7">
        <w:rPr>
          <w:rFonts w:ascii="Times New Roman" w:hAnsi="Times New Roman" w:cs="Times New Roman"/>
          <w:sz w:val="20"/>
          <w:szCs w:val="24"/>
        </w:rPr>
        <w:t xml:space="preserve"> &lt; 0.019), demonstrating that at follow-up there was significant degradation in awareness among the PAT-AU group. </w:t>
      </w:r>
    </w:p>
    <w:p w14:paraId="2325828B" w14:textId="77777777" w:rsidR="007D3D49" w:rsidRPr="00635DF7" w:rsidRDefault="007D3D49" w:rsidP="007D3D49">
      <w:pPr>
        <w:rPr>
          <w:rFonts w:ascii="Times New Roman" w:hAnsi="Times New Roman" w:cs="Times New Roman"/>
          <w:bCs/>
        </w:rPr>
      </w:pPr>
      <w:r w:rsidRPr="00635DF7">
        <w:rPr>
          <w:rFonts w:ascii="Times New Roman" w:hAnsi="Times New Roman" w:cs="Times New Roman"/>
          <w:bCs/>
        </w:rPr>
        <w:br w:type="page"/>
      </w:r>
    </w:p>
    <w:p w14:paraId="710DDC0B" w14:textId="77777777" w:rsidR="007D3D49" w:rsidRPr="00635DF7" w:rsidRDefault="007D3D49" w:rsidP="007D3D49">
      <w:pPr>
        <w:rPr>
          <w:rFonts w:ascii="Times New Roman" w:hAnsi="Times New Roman" w:cs="Times New Roman"/>
        </w:rPr>
      </w:pPr>
      <w:r w:rsidRPr="00635DF7">
        <w:rPr>
          <w:rFonts w:ascii="Times New Roman" w:hAnsi="Times New Roman" w:cs="Times New Roman"/>
          <w:b/>
          <w:bCs/>
        </w:rPr>
        <w:lastRenderedPageBreak/>
        <w:t>Figure 3</w:t>
      </w:r>
      <w:r w:rsidRPr="00635DF7">
        <w:rPr>
          <w:rFonts w:ascii="Times New Roman" w:hAnsi="Times New Roman" w:cs="Times New Roman"/>
        </w:rPr>
        <w:t xml:space="preserve"> </w:t>
      </w:r>
    </w:p>
    <w:p w14:paraId="3BBF9220" w14:textId="77777777" w:rsidR="007D3D49" w:rsidRPr="00635DF7" w:rsidRDefault="007D3D49" w:rsidP="007D3D49">
      <w:pPr>
        <w:rPr>
          <w:rFonts w:ascii="Times New Roman" w:hAnsi="Times New Roman" w:cs="Times New Roman"/>
          <w:i/>
          <w:iCs/>
        </w:rPr>
      </w:pPr>
      <w:r w:rsidRPr="00635DF7">
        <w:rPr>
          <w:rFonts w:ascii="Times New Roman" w:hAnsi="Times New Roman" w:cs="Times New Roman"/>
          <w:i/>
          <w:iCs/>
        </w:rPr>
        <w:t>Raw Means on the Behaviors Subscale of the Assessment of SmartParents’ Knowledge</w:t>
      </w:r>
    </w:p>
    <w:p w14:paraId="3F55A07B" w14:textId="77777777" w:rsidR="007D3D49" w:rsidRPr="00FA50BE" w:rsidRDefault="007D3D49" w:rsidP="007D3D49">
      <w:pPr>
        <w:rPr>
          <w:rFonts w:ascii="Times New Roman" w:hAnsi="Times New Roman" w:cs="Times New Roman"/>
          <w:bCs/>
          <w:sz w:val="24"/>
          <w:szCs w:val="24"/>
        </w:rPr>
      </w:pPr>
      <w:r w:rsidRPr="00FA50BE">
        <w:rPr>
          <w:rFonts w:ascii="Times New Roman" w:hAnsi="Times New Roman" w:cs="Times New Roman"/>
          <w:bCs/>
          <w:noProof/>
          <w:sz w:val="24"/>
          <w:szCs w:val="24"/>
        </w:rPr>
        <w:drawing>
          <wp:inline distT="0" distB="0" distL="0" distR="0" wp14:anchorId="5ED099D8" wp14:editId="03AACDE9">
            <wp:extent cx="5967409" cy="3347357"/>
            <wp:effectExtent l="0" t="0" r="0" b="571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0918" cy="3349325"/>
                    </a:xfrm>
                    <a:prstGeom prst="rect">
                      <a:avLst/>
                    </a:prstGeom>
                    <a:noFill/>
                  </pic:spPr>
                </pic:pic>
              </a:graphicData>
            </a:graphic>
          </wp:inline>
        </w:drawing>
      </w:r>
      <w:r w:rsidRPr="00FA50BE">
        <w:rPr>
          <w:rFonts w:ascii="Times New Roman" w:hAnsi="Times New Roman" w:cs="Times New Roman"/>
          <w:bCs/>
          <w:sz w:val="24"/>
          <w:szCs w:val="24"/>
        </w:rPr>
        <w:t xml:space="preserve"> </w:t>
      </w:r>
    </w:p>
    <w:p w14:paraId="52FA53C4" w14:textId="77777777" w:rsidR="007D3D49" w:rsidRPr="00635DF7" w:rsidRDefault="007D3D49" w:rsidP="007D3D49">
      <w:pPr>
        <w:rPr>
          <w:rFonts w:ascii="Times New Roman" w:hAnsi="Times New Roman" w:cs="Times New Roman"/>
          <w:bCs/>
          <w:sz w:val="20"/>
          <w:szCs w:val="24"/>
        </w:rPr>
      </w:pPr>
      <w:r w:rsidRPr="007F763E">
        <w:rPr>
          <w:rFonts w:ascii="Times New Roman" w:hAnsi="Times New Roman" w:cs="Times New Roman"/>
          <w:bCs/>
          <w:i/>
          <w:sz w:val="20"/>
          <w:szCs w:val="24"/>
        </w:rPr>
        <w:t>Note:</w:t>
      </w:r>
      <w:r w:rsidRPr="007F763E">
        <w:rPr>
          <w:rFonts w:ascii="Times New Roman" w:hAnsi="Times New Roman" w:cs="Times New Roman"/>
          <w:bCs/>
          <w:sz w:val="20"/>
          <w:szCs w:val="24"/>
        </w:rPr>
        <w:t xml:space="preserve"> Unconditional model indicates a linear increase in protective behaviors over </w:t>
      </w:r>
      <w:r w:rsidRPr="00FA0EE9">
        <w:rPr>
          <w:rFonts w:ascii="Times New Roman" w:hAnsi="Times New Roman" w:cs="Times New Roman"/>
          <w:bCs/>
          <w:sz w:val="20"/>
          <w:szCs w:val="20"/>
        </w:rPr>
        <w:t xml:space="preserve">time </w:t>
      </w:r>
      <w:r w:rsidRPr="00FA0EE9">
        <w:rPr>
          <w:rFonts w:ascii="Times New Roman" w:hAnsi="Times New Roman" w:cs="Times New Roman"/>
          <w:sz w:val="20"/>
          <w:szCs w:val="20"/>
        </w:rPr>
        <w:t>(</w:t>
      </w:r>
      <w:proofErr w:type="gramStart"/>
      <w:r w:rsidRPr="00FA0EE9">
        <w:rPr>
          <w:rFonts w:ascii="Times New Roman" w:hAnsi="Times New Roman" w:cs="Times New Roman"/>
          <w:i/>
          <w:sz w:val="20"/>
          <w:szCs w:val="20"/>
        </w:rPr>
        <w:t>F</w:t>
      </w:r>
      <w:r w:rsidRPr="00FA0EE9">
        <w:rPr>
          <w:rFonts w:ascii="Times New Roman" w:hAnsi="Times New Roman" w:cs="Times New Roman"/>
          <w:i/>
          <w:sz w:val="20"/>
          <w:szCs w:val="20"/>
          <w:vertAlign w:val="subscript"/>
        </w:rPr>
        <w:t>[</w:t>
      </w:r>
      <w:proofErr w:type="gramEnd"/>
      <w:r w:rsidRPr="00FA0EE9">
        <w:rPr>
          <w:rFonts w:ascii="Times New Roman" w:hAnsi="Times New Roman" w:cs="Times New Roman"/>
          <w:i/>
          <w:sz w:val="20"/>
          <w:szCs w:val="20"/>
          <w:vertAlign w:val="subscript"/>
        </w:rPr>
        <w:t>1,281]</w:t>
      </w:r>
      <w:r w:rsidRPr="00FC07A4">
        <w:rPr>
          <w:rFonts w:ascii="Times New Roman" w:hAnsi="Times New Roman" w:cs="Times New Roman"/>
          <w:sz w:val="20"/>
          <w:szCs w:val="20"/>
        </w:rPr>
        <w:t xml:space="preserve"> = 22.67, </w:t>
      </w:r>
      <w:r w:rsidRPr="00FC07A4">
        <w:rPr>
          <w:rFonts w:ascii="Times New Roman" w:hAnsi="Times New Roman" w:cs="Times New Roman"/>
          <w:i/>
          <w:sz w:val="20"/>
          <w:szCs w:val="20"/>
        </w:rPr>
        <w:t>p</w:t>
      </w:r>
      <w:r w:rsidRPr="00E763AA">
        <w:rPr>
          <w:rFonts w:ascii="Times New Roman" w:hAnsi="Times New Roman" w:cs="Times New Roman"/>
          <w:sz w:val="20"/>
          <w:szCs w:val="20"/>
        </w:rPr>
        <w:t xml:space="preserve"> &lt; 0.001). The conditional model indicated a significant </w:t>
      </w:r>
      <w:r w:rsidRPr="0056316E">
        <w:rPr>
          <w:rFonts w:ascii="Times New Roman" w:hAnsi="Times New Roman" w:cs="Times New Roman"/>
          <w:sz w:val="20"/>
          <w:szCs w:val="20"/>
        </w:rPr>
        <w:t>Group X Time interaction effect (</w:t>
      </w:r>
      <w:r w:rsidRPr="006831B1">
        <w:rPr>
          <w:rFonts w:ascii="Times New Roman" w:hAnsi="Times New Roman" w:cs="Times New Roman"/>
          <w:i/>
          <w:sz w:val="20"/>
          <w:szCs w:val="20"/>
        </w:rPr>
        <w:t>F</w:t>
      </w:r>
      <w:r w:rsidRPr="00635DF7">
        <w:rPr>
          <w:rFonts w:ascii="Times New Roman" w:hAnsi="Times New Roman" w:cs="Times New Roman"/>
          <w:i/>
          <w:sz w:val="20"/>
          <w:szCs w:val="20"/>
          <w:vertAlign w:val="subscript"/>
        </w:rPr>
        <w:t>[1.236]</w:t>
      </w:r>
      <w:r w:rsidRPr="00635DF7">
        <w:rPr>
          <w:rFonts w:ascii="Times New Roman" w:hAnsi="Times New Roman" w:cs="Times New Roman"/>
          <w:sz w:val="20"/>
          <w:szCs w:val="20"/>
        </w:rPr>
        <w:t xml:space="preserve"> = 8.36, </w:t>
      </w:r>
      <w:r w:rsidRPr="00635DF7">
        <w:rPr>
          <w:rFonts w:ascii="Times New Roman" w:hAnsi="Times New Roman" w:cs="Times New Roman"/>
          <w:i/>
          <w:sz w:val="20"/>
          <w:szCs w:val="20"/>
        </w:rPr>
        <w:t>p</w:t>
      </w:r>
      <w:r w:rsidRPr="00635DF7">
        <w:rPr>
          <w:rFonts w:ascii="Times New Roman" w:hAnsi="Times New Roman" w:cs="Times New Roman"/>
          <w:sz w:val="20"/>
          <w:szCs w:val="20"/>
        </w:rPr>
        <w:t xml:space="preserve"> &lt; 0.001), controlling for between-group differences in demographic characteristics (marital</w:t>
      </w:r>
      <w:r w:rsidRPr="00635DF7">
        <w:rPr>
          <w:rFonts w:ascii="Times New Roman" w:hAnsi="Times New Roman" w:cs="Times New Roman"/>
          <w:sz w:val="20"/>
          <w:szCs w:val="24"/>
        </w:rPr>
        <w:t xml:space="preserve"> status, age, educational attainment, income, receipt of aid, and perceived social support). </w:t>
      </w:r>
    </w:p>
    <w:p w14:paraId="686C722C" w14:textId="77777777" w:rsidR="007D3D49" w:rsidRPr="00635DF7" w:rsidRDefault="007D3D49" w:rsidP="007D3D49">
      <w:pPr>
        <w:rPr>
          <w:rFonts w:ascii="Times New Roman" w:hAnsi="Times New Roman" w:cs="Times New Roman"/>
          <w:bCs/>
          <w:sz w:val="24"/>
          <w:szCs w:val="24"/>
        </w:rPr>
      </w:pPr>
      <w:r w:rsidRPr="00635DF7">
        <w:rPr>
          <w:rFonts w:ascii="Times New Roman" w:hAnsi="Times New Roman" w:cs="Times New Roman"/>
          <w:bCs/>
          <w:sz w:val="24"/>
          <w:szCs w:val="24"/>
        </w:rPr>
        <w:br w:type="page"/>
      </w:r>
    </w:p>
    <w:p w14:paraId="2364F860" w14:textId="77777777" w:rsidR="007D3D49" w:rsidRPr="00635DF7" w:rsidRDefault="007D3D49" w:rsidP="007D3D49">
      <w:pPr>
        <w:rPr>
          <w:rFonts w:ascii="Times New Roman" w:hAnsi="Times New Roman" w:cs="Times New Roman"/>
          <w:b/>
        </w:rPr>
      </w:pPr>
      <w:r w:rsidRPr="00635DF7">
        <w:rPr>
          <w:rFonts w:ascii="Times New Roman" w:hAnsi="Times New Roman" w:cs="Times New Roman"/>
          <w:b/>
        </w:rPr>
        <w:lastRenderedPageBreak/>
        <w:t>Table 1</w:t>
      </w:r>
    </w:p>
    <w:p w14:paraId="73992E0C" w14:textId="77777777" w:rsidR="007D3D49" w:rsidRPr="00635DF7" w:rsidRDefault="007D3D49" w:rsidP="007D3D49">
      <w:pPr>
        <w:rPr>
          <w:rFonts w:ascii="Times New Roman" w:hAnsi="Times New Roman" w:cs="Times New Roman"/>
          <w:bCs/>
          <w:i/>
          <w:iCs/>
        </w:rPr>
      </w:pPr>
      <w:r w:rsidRPr="00635DF7">
        <w:rPr>
          <w:rFonts w:ascii="Times New Roman" w:hAnsi="Times New Roman" w:cs="Times New Roman"/>
          <w:bCs/>
          <w:i/>
          <w:iCs/>
        </w:rPr>
        <w:t>Participant Characteristics at Baseline</w:t>
      </w:r>
    </w:p>
    <w:tbl>
      <w:tblPr>
        <w:tblStyle w:val="TableGrid"/>
        <w:tblW w:w="838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640"/>
        <w:gridCol w:w="796"/>
        <w:gridCol w:w="788"/>
        <w:gridCol w:w="873"/>
        <w:gridCol w:w="782"/>
        <w:gridCol w:w="834"/>
        <w:gridCol w:w="883"/>
      </w:tblGrid>
      <w:tr w:rsidR="007D3D49" w:rsidRPr="00635DF7" w14:paraId="657D8E90" w14:textId="77777777" w:rsidTr="006C5EBE">
        <w:tc>
          <w:tcPr>
            <w:tcW w:w="2790" w:type="dxa"/>
            <w:tcBorders>
              <w:top w:val="single" w:sz="4" w:space="0" w:color="auto"/>
              <w:left w:val="nil"/>
              <w:bottom w:val="single" w:sz="4" w:space="0" w:color="FFFFFF" w:themeColor="background1"/>
              <w:right w:val="nil"/>
            </w:tcBorders>
          </w:tcPr>
          <w:p w14:paraId="568884E2" w14:textId="77777777" w:rsidR="007D3D49" w:rsidRPr="00635DF7" w:rsidRDefault="007D3D49" w:rsidP="006C5EBE">
            <w:pPr>
              <w:rPr>
                <w:rFonts w:ascii="Times New Roman" w:hAnsi="Times New Roman" w:cs="Times New Roman"/>
              </w:rPr>
            </w:pPr>
          </w:p>
        </w:tc>
        <w:tc>
          <w:tcPr>
            <w:tcW w:w="1436" w:type="dxa"/>
            <w:gridSpan w:val="2"/>
            <w:tcBorders>
              <w:top w:val="single" w:sz="4" w:space="0" w:color="auto"/>
              <w:left w:val="nil"/>
              <w:bottom w:val="single" w:sz="4" w:space="0" w:color="auto"/>
              <w:right w:val="single" w:sz="4" w:space="0" w:color="auto"/>
            </w:tcBorders>
            <w:hideMark/>
          </w:tcPr>
          <w:p w14:paraId="4E5EBC20" w14:textId="77777777" w:rsidR="007D3D49" w:rsidRPr="00635DF7" w:rsidRDefault="007D3D49" w:rsidP="006C5EBE">
            <w:pPr>
              <w:jc w:val="center"/>
              <w:rPr>
                <w:rFonts w:ascii="Times New Roman" w:hAnsi="Times New Roman" w:cs="Times New Roman"/>
                <w:b/>
              </w:rPr>
            </w:pPr>
            <w:r w:rsidRPr="00635DF7">
              <w:rPr>
                <w:rFonts w:ascii="Times New Roman" w:hAnsi="Times New Roman" w:cs="Times New Roman"/>
                <w:b/>
              </w:rPr>
              <w:t>Total</w:t>
            </w:r>
          </w:p>
          <w:p w14:paraId="2363F24A" w14:textId="77777777" w:rsidR="007D3D49" w:rsidRPr="00635DF7" w:rsidRDefault="007D3D49" w:rsidP="006C5EBE">
            <w:pPr>
              <w:jc w:val="center"/>
              <w:rPr>
                <w:rFonts w:ascii="Times New Roman" w:hAnsi="Times New Roman" w:cs="Times New Roman"/>
                <w:b/>
              </w:rPr>
            </w:pPr>
            <w:r w:rsidRPr="00635DF7">
              <w:rPr>
                <w:rFonts w:ascii="Times New Roman" w:hAnsi="Times New Roman" w:cs="Times New Roman"/>
                <w:b/>
              </w:rPr>
              <w:t>(</w:t>
            </w:r>
            <w:r w:rsidRPr="00635DF7">
              <w:rPr>
                <w:rFonts w:ascii="Times New Roman" w:hAnsi="Times New Roman" w:cs="Times New Roman"/>
                <w:b/>
                <w:i/>
              </w:rPr>
              <w:t xml:space="preserve">N </w:t>
            </w:r>
            <w:r w:rsidRPr="00635DF7">
              <w:rPr>
                <w:rFonts w:ascii="Times New Roman" w:hAnsi="Times New Roman" w:cs="Times New Roman"/>
                <w:b/>
              </w:rPr>
              <w:t>= 110)</w:t>
            </w:r>
          </w:p>
        </w:tc>
        <w:tc>
          <w:tcPr>
            <w:tcW w:w="1661" w:type="dxa"/>
            <w:gridSpan w:val="2"/>
            <w:tcBorders>
              <w:top w:val="single" w:sz="4" w:space="0" w:color="auto"/>
              <w:left w:val="single" w:sz="4" w:space="0" w:color="auto"/>
              <w:bottom w:val="single" w:sz="4" w:space="0" w:color="auto"/>
              <w:right w:val="nil"/>
            </w:tcBorders>
            <w:hideMark/>
          </w:tcPr>
          <w:p w14:paraId="4C52D27B" w14:textId="77777777" w:rsidR="007D3D49" w:rsidRPr="00635DF7" w:rsidRDefault="007D3D49" w:rsidP="006C5EBE">
            <w:pPr>
              <w:jc w:val="center"/>
              <w:rPr>
                <w:rFonts w:ascii="Times New Roman" w:hAnsi="Times New Roman" w:cs="Times New Roman"/>
                <w:b/>
              </w:rPr>
            </w:pPr>
            <w:r w:rsidRPr="00635DF7">
              <w:rPr>
                <w:rFonts w:ascii="Times New Roman" w:hAnsi="Times New Roman" w:cs="Times New Roman"/>
                <w:b/>
              </w:rPr>
              <w:t>PAT-AU</w:t>
            </w:r>
          </w:p>
          <w:p w14:paraId="20618B1B" w14:textId="77777777" w:rsidR="007D3D49" w:rsidRPr="00635DF7" w:rsidRDefault="007D3D49" w:rsidP="006C5EBE">
            <w:pPr>
              <w:jc w:val="center"/>
              <w:rPr>
                <w:rFonts w:ascii="Times New Roman" w:hAnsi="Times New Roman" w:cs="Times New Roman"/>
                <w:b/>
              </w:rPr>
            </w:pPr>
            <w:r w:rsidRPr="00635DF7">
              <w:rPr>
                <w:rFonts w:ascii="Times New Roman" w:hAnsi="Times New Roman" w:cs="Times New Roman"/>
                <w:b/>
              </w:rPr>
              <w:t>(</w:t>
            </w:r>
            <w:r w:rsidRPr="00635DF7">
              <w:rPr>
                <w:rFonts w:ascii="Times New Roman" w:hAnsi="Times New Roman" w:cs="Times New Roman"/>
                <w:b/>
                <w:i/>
              </w:rPr>
              <w:t>n</w:t>
            </w:r>
            <w:r w:rsidRPr="00635DF7">
              <w:rPr>
                <w:rFonts w:ascii="Times New Roman" w:hAnsi="Times New Roman" w:cs="Times New Roman"/>
                <w:b/>
              </w:rPr>
              <w:t xml:space="preserve"> = 63)</w:t>
            </w:r>
          </w:p>
        </w:tc>
        <w:tc>
          <w:tcPr>
            <w:tcW w:w="1616" w:type="dxa"/>
            <w:gridSpan w:val="2"/>
            <w:tcBorders>
              <w:top w:val="single" w:sz="4" w:space="0" w:color="auto"/>
              <w:left w:val="nil"/>
              <w:bottom w:val="single" w:sz="4" w:space="0" w:color="auto"/>
              <w:right w:val="nil"/>
            </w:tcBorders>
            <w:hideMark/>
          </w:tcPr>
          <w:p w14:paraId="59225D27" w14:textId="77777777" w:rsidR="007D3D49" w:rsidRPr="00635DF7" w:rsidRDefault="007D3D49" w:rsidP="006C5EBE">
            <w:pPr>
              <w:jc w:val="center"/>
              <w:rPr>
                <w:rFonts w:ascii="Times New Roman" w:hAnsi="Times New Roman" w:cs="Times New Roman"/>
                <w:b/>
              </w:rPr>
            </w:pPr>
            <w:r w:rsidRPr="00635DF7">
              <w:rPr>
                <w:rFonts w:ascii="Times New Roman" w:hAnsi="Times New Roman" w:cs="Times New Roman"/>
                <w:b/>
              </w:rPr>
              <w:t>PAT+SPSHK</w:t>
            </w:r>
          </w:p>
          <w:p w14:paraId="165C92E9" w14:textId="77777777" w:rsidR="007D3D49" w:rsidRPr="00635DF7" w:rsidRDefault="007D3D49" w:rsidP="006C5EBE">
            <w:pPr>
              <w:jc w:val="center"/>
              <w:rPr>
                <w:rFonts w:ascii="Times New Roman" w:hAnsi="Times New Roman" w:cs="Times New Roman"/>
                <w:b/>
              </w:rPr>
            </w:pPr>
            <w:r w:rsidRPr="00635DF7">
              <w:rPr>
                <w:rFonts w:ascii="Times New Roman" w:hAnsi="Times New Roman" w:cs="Times New Roman"/>
                <w:b/>
              </w:rPr>
              <w:t>(</w:t>
            </w:r>
            <w:r w:rsidRPr="00635DF7">
              <w:rPr>
                <w:rFonts w:ascii="Times New Roman" w:hAnsi="Times New Roman" w:cs="Times New Roman"/>
                <w:b/>
                <w:i/>
              </w:rPr>
              <w:t>n</w:t>
            </w:r>
            <w:r w:rsidRPr="00635DF7">
              <w:rPr>
                <w:rFonts w:ascii="Times New Roman" w:hAnsi="Times New Roman" w:cs="Times New Roman"/>
                <w:b/>
              </w:rPr>
              <w:t xml:space="preserve"> = 47)</w:t>
            </w:r>
          </w:p>
        </w:tc>
        <w:tc>
          <w:tcPr>
            <w:tcW w:w="883" w:type="dxa"/>
            <w:vMerge w:val="restart"/>
            <w:tcBorders>
              <w:top w:val="single" w:sz="4" w:space="0" w:color="auto"/>
              <w:left w:val="nil"/>
              <w:bottom w:val="single" w:sz="4" w:space="0" w:color="auto"/>
              <w:right w:val="nil"/>
            </w:tcBorders>
            <w:vAlign w:val="center"/>
            <w:hideMark/>
          </w:tcPr>
          <w:p w14:paraId="787CC424" w14:textId="77777777" w:rsidR="007D3D49" w:rsidRPr="00635DF7" w:rsidRDefault="007D3D49" w:rsidP="006C5EBE">
            <w:pPr>
              <w:jc w:val="center"/>
              <w:rPr>
                <w:rFonts w:ascii="Times New Roman" w:hAnsi="Times New Roman" w:cs="Times New Roman"/>
                <w:i/>
              </w:rPr>
            </w:pPr>
            <w:proofErr w:type="spellStart"/>
            <w:r w:rsidRPr="00635DF7">
              <w:rPr>
                <w:rFonts w:ascii="Times New Roman" w:hAnsi="Times New Roman" w:cs="Times New Roman"/>
                <w:b/>
              </w:rPr>
              <w:t>Pvalue</w:t>
            </w:r>
            <w:proofErr w:type="spellEnd"/>
          </w:p>
        </w:tc>
      </w:tr>
      <w:tr w:rsidR="007D3D49" w:rsidRPr="00635DF7" w14:paraId="242BF7C2" w14:textId="77777777" w:rsidTr="006C5EBE">
        <w:tc>
          <w:tcPr>
            <w:tcW w:w="2790" w:type="dxa"/>
            <w:tcBorders>
              <w:top w:val="single" w:sz="4" w:space="0" w:color="FFFFFF" w:themeColor="background1"/>
              <w:left w:val="nil"/>
              <w:bottom w:val="single" w:sz="4" w:space="0" w:color="auto"/>
              <w:right w:val="nil"/>
            </w:tcBorders>
          </w:tcPr>
          <w:p w14:paraId="1CD32353" w14:textId="77777777" w:rsidR="007D3D49" w:rsidRPr="00635DF7" w:rsidRDefault="007D3D49" w:rsidP="006C5EBE">
            <w:pPr>
              <w:rPr>
                <w:rFonts w:ascii="Times New Roman" w:hAnsi="Times New Roman" w:cs="Times New Roman"/>
                <w:i/>
              </w:rPr>
            </w:pPr>
          </w:p>
        </w:tc>
        <w:tc>
          <w:tcPr>
            <w:tcW w:w="640" w:type="dxa"/>
            <w:tcBorders>
              <w:top w:val="single" w:sz="4" w:space="0" w:color="auto"/>
              <w:left w:val="nil"/>
              <w:bottom w:val="single" w:sz="4" w:space="0" w:color="auto"/>
              <w:right w:val="nil"/>
            </w:tcBorders>
            <w:hideMark/>
          </w:tcPr>
          <w:p w14:paraId="6AFEE80A" w14:textId="77777777" w:rsidR="007D3D49" w:rsidRPr="00635DF7" w:rsidRDefault="007D3D49" w:rsidP="006C5EBE">
            <w:pPr>
              <w:jc w:val="center"/>
              <w:rPr>
                <w:rFonts w:ascii="Times New Roman" w:hAnsi="Times New Roman" w:cs="Times New Roman"/>
                <w:i/>
              </w:rPr>
            </w:pPr>
            <w:r w:rsidRPr="00635DF7">
              <w:rPr>
                <w:rFonts w:ascii="Times New Roman" w:hAnsi="Times New Roman" w:cs="Times New Roman"/>
                <w:i/>
              </w:rPr>
              <w:t>N</w:t>
            </w:r>
          </w:p>
        </w:tc>
        <w:tc>
          <w:tcPr>
            <w:tcW w:w="796" w:type="dxa"/>
            <w:tcBorders>
              <w:top w:val="single" w:sz="4" w:space="0" w:color="auto"/>
              <w:left w:val="nil"/>
              <w:bottom w:val="single" w:sz="4" w:space="0" w:color="auto"/>
              <w:right w:val="single" w:sz="4" w:space="0" w:color="auto"/>
            </w:tcBorders>
            <w:hideMark/>
          </w:tcPr>
          <w:p w14:paraId="5018AD03" w14:textId="77777777" w:rsidR="007D3D49" w:rsidRPr="00635DF7" w:rsidRDefault="007D3D49" w:rsidP="006C5EBE">
            <w:pPr>
              <w:jc w:val="center"/>
              <w:rPr>
                <w:rFonts w:ascii="Times New Roman" w:hAnsi="Times New Roman" w:cs="Times New Roman"/>
                <w:i/>
              </w:rPr>
            </w:pPr>
            <w:r w:rsidRPr="00635DF7">
              <w:rPr>
                <w:rFonts w:ascii="Times New Roman" w:hAnsi="Times New Roman" w:cs="Times New Roman"/>
                <w:i/>
              </w:rPr>
              <w:t>(%)</w:t>
            </w:r>
          </w:p>
        </w:tc>
        <w:tc>
          <w:tcPr>
            <w:tcW w:w="788" w:type="dxa"/>
            <w:tcBorders>
              <w:top w:val="single" w:sz="4" w:space="0" w:color="auto"/>
              <w:left w:val="single" w:sz="4" w:space="0" w:color="auto"/>
              <w:bottom w:val="single" w:sz="4" w:space="0" w:color="auto"/>
              <w:right w:val="nil"/>
            </w:tcBorders>
            <w:hideMark/>
          </w:tcPr>
          <w:p w14:paraId="5DB21CC9" w14:textId="77777777" w:rsidR="007D3D49" w:rsidRPr="00635DF7" w:rsidRDefault="007D3D49" w:rsidP="006C5EBE">
            <w:pPr>
              <w:jc w:val="center"/>
              <w:rPr>
                <w:rFonts w:ascii="Times New Roman" w:hAnsi="Times New Roman" w:cs="Times New Roman"/>
                <w:i/>
              </w:rPr>
            </w:pPr>
            <w:r w:rsidRPr="00635DF7">
              <w:rPr>
                <w:rFonts w:ascii="Times New Roman" w:hAnsi="Times New Roman" w:cs="Times New Roman"/>
                <w:i/>
              </w:rPr>
              <w:t>N</w:t>
            </w:r>
          </w:p>
        </w:tc>
        <w:tc>
          <w:tcPr>
            <w:tcW w:w="873" w:type="dxa"/>
            <w:tcBorders>
              <w:top w:val="single" w:sz="4" w:space="0" w:color="auto"/>
              <w:left w:val="nil"/>
              <w:bottom w:val="single" w:sz="4" w:space="0" w:color="auto"/>
              <w:right w:val="nil"/>
            </w:tcBorders>
            <w:hideMark/>
          </w:tcPr>
          <w:p w14:paraId="15073CEA" w14:textId="77777777" w:rsidR="007D3D49" w:rsidRPr="00635DF7" w:rsidRDefault="007D3D49" w:rsidP="006C5EBE">
            <w:pPr>
              <w:jc w:val="center"/>
              <w:rPr>
                <w:rFonts w:ascii="Times New Roman" w:hAnsi="Times New Roman" w:cs="Times New Roman"/>
                <w:i/>
              </w:rPr>
            </w:pPr>
            <w:r w:rsidRPr="00635DF7">
              <w:rPr>
                <w:rFonts w:ascii="Times New Roman" w:hAnsi="Times New Roman" w:cs="Times New Roman"/>
                <w:i/>
              </w:rPr>
              <w:t>(%)</w:t>
            </w:r>
          </w:p>
        </w:tc>
        <w:tc>
          <w:tcPr>
            <w:tcW w:w="782" w:type="dxa"/>
            <w:tcBorders>
              <w:top w:val="single" w:sz="4" w:space="0" w:color="auto"/>
              <w:left w:val="nil"/>
              <w:bottom w:val="single" w:sz="4" w:space="0" w:color="auto"/>
              <w:right w:val="nil"/>
            </w:tcBorders>
            <w:hideMark/>
          </w:tcPr>
          <w:p w14:paraId="51B89414" w14:textId="77777777" w:rsidR="007D3D49" w:rsidRPr="00635DF7" w:rsidRDefault="007D3D49" w:rsidP="006C5EBE">
            <w:pPr>
              <w:jc w:val="center"/>
              <w:rPr>
                <w:rFonts w:ascii="Times New Roman" w:hAnsi="Times New Roman" w:cs="Times New Roman"/>
                <w:i/>
              </w:rPr>
            </w:pPr>
            <w:r w:rsidRPr="00635DF7">
              <w:rPr>
                <w:rFonts w:ascii="Times New Roman" w:hAnsi="Times New Roman" w:cs="Times New Roman"/>
                <w:i/>
              </w:rPr>
              <w:t>N</w:t>
            </w:r>
          </w:p>
        </w:tc>
        <w:tc>
          <w:tcPr>
            <w:tcW w:w="834" w:type="dxa"/>
            <w:tcBorders>
              <w:top w:val="single" w:sz="4" w:space="0" w:color="auto"/>
              <w:left w:val="nil"/>
              <w:bottom w:val="single" w:sz="4" w:space="0" w:color="auto"/>
              <w:right w:val="nil"/>
            </w:tcBorders>
            <w:hideMark/>
          </w:tcPr>
          <w:p w14:paraId="3115B083" w14:textId="77777777" w:rsidR="007D3D49" w:rsidRPr="00635DF7" w:rsidRDefault="007D3D49" w:rsidP="006C5EBE">
            <w:pPr>
              <w:jc w:val="center"/>
              <w:rPr>
                <w:rFonts w:ascii="Times New Roman" w:hAnsi="Times New Roman" w:cs="Times New Roman"/>
                <w:i/>
              </w:rPr>
            </w:pPr>
            <w:r w:rsidRPr="00635DF7">
              <w:rPr>
                <w:rFonts w:ascii="Times New Roman" w:hAnsi="Times New Roman" w:cs="Times New Roman"/>
                <w:i/>
              </w:rPr>
              <w:t>(%)</w:t>
            </w:r>
          </w:p>
        </w:tc>
        <w:tc>
          <w:tcPr>
            <w:tcW w:w="0" w:type="auto"/>
            <w:vMerge/>
            <w:tcBorders>
              <w:top w:val="single" w:sz="4" w:space="0" w:color="auto"/>
              <w:left w:val="nil"/>
              <w:bottom w:val="single" w:sz="4" w:space="0" w:color="auto"/>
              <w:right w:val="nil"/>
            </w:tcBorders>
            <w:vAlign w:val="center"/>
            <w:hideMark/>
          </w:tcPr>
          <w:p w14:paraId="282164FD" w14:textId="77777777" w:rsidR="007D3D49" w:rsidRPr="00635DF7" w:rsidRDefault="007D3D49" w:rsidP="006C5EBE">
            <w:pPr>
              <w:rPr>
                <w:rFonts w:ascii="Times New Roman" w:hAnsi="Times New Roman" w:cs="Times New Roman"/>
                <w:i/>
              </w:rPr>
            </w:pPr>
          </w:p>
        </w:tc>
      </w:tr>
      <w:tr w:rsidR="007D3D49" w:rsidRPr="00635DF7" w14:paraId="4B61DE6D" w14:textId="77777777" w:rsidTr="006C5EBE">
        <w:tc>
          <w:tcPr>
            <w:tcW w:w="2790" w:type="dxa"/>
            <w:tcBorders>
              <w:top w:val="single" w:sz="4" w:space="0" w:color="auto"/>
              <w:left w:val="nil"/>
              <w:bottom w:val="nil"/>
              <w:right w:val="nil"/>
            </w:tcBorders>
            <w:hideMark/>
          </w:tcPr>
          <w:p w14:paraId="45CC89A5" w14:textId="77777777" w:rsidR="007D3D49" w:rsidRPr="00635DF7" w:rsidRDefault="007D3D49" w:rsidP="006C5EBE">
            <w:pPr>
              <w:rPr>
                <w:rFonts w:ascii="Times New Roman" w:hAnsi="Times New Roman" w:cs="Times New Roman"/>
                <w:vertAlign w:val="superscript"/>
              </w:rPr>
            </w:pPr>
            <w:proofErr w:type="spellStart"/>
            <w:r w:rsidRPr="00635DF7">
              <w:rPr>
                <w:rFonts w:ascii="Times New Roman" w:hAnsi="Times New Roman" w:cs="Times New Roman"/>
              </w:rPr>
              <w:t>Female</w:t>
            </w:r>
            <w:r w:rsidRPr="00635DF7">
              <w:rPr>
                <w:rFonts w:ascii="Times New Roman" w:hAnsi="Times New Roman" w:cs="Times New Roman"/>
                <w:vertAlign w:val="superscript"/>
              </w:rPr>
              <w:t>a</w:t>
            </w:r>
            <w:proofErr w:type="spellEnd"/>
          </w:p>
        </w:tc>
        <w:tc>
          <w:tcPr>
            <w:tcW w:w="640" w:type="dxa"/>
            <w:tcBorders>
              <w:top w:val="single" w:sz="4" w:space="0" w:color="auto"/>
              <w:left w:val="nil"/>
              <w:bottom w:val="nil"/>
              <w:right w:val="nil"/>
            </w:tcBorders>
            <w:hideMark/>
          </w:tcPr>
          <w:p w14:paraId="52C9534F"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104</w:t>
            </w:r>
          </w:p>
        </w:tc>
        <w:tc>
          <w:tcPr>
            <w:tcW w:w="796" w:type="dxa"/>
            <w:tcBorders>
              <w:top w:val="single" w:sz="4" w:space="0" w:color="auto"/>
              <w:left w:val="nil"/>
              <w:bottom w:val="nil"/>
              <w:right w:val="single" w:sz="4" w:space="0" w:color="auto"/>
            </w:tcBorders>
            <w:hideMark/>
          </w:tcPr>
          <w:p w14:paraId="108DEBC6"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(95)</w:t>
            </w:r>
          </w:p>
        </w:tc>
        <w:tc>
          <w:tcPr>
            <w:tcW w:w="788" w:type="dxa"/>
            <w:tcBorders>
              <w:top w:val="single" w:sz="4" w:space="0" w:color="auto"/>
              <w:left w:val="single" w:sz="4" w:space="0" w:color="auto"/>
              <w:bottom w:val="nil"/>
              <w:right w:val="nil"/>
            </w:tcBorders>
            <w:hideMark/>
          </w:tcPr>
          <w:p w14:paraId="2F9AB7E3"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58</w:t>
            </w:r>
          </w:p>
        </w:tc>
        <w:tc>
          <w:tcPr>
            <w:tcW w:w="873" w:type="dxa"/>
            <w:tcBorders>
              <w:top w:val="single" w:sz="4" w:space="0" w:color="auto"/>
              <w:left w:val="nil"/>
              <w:bottom w:val="nil"/>
              <w:right w:val="nil"/>
            </w:tcBorders>
            <w:hideMark/>
          </w:tcPr>
          <w:p w14:paraId="5D8D58B4"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(92)</w:t>
            </w:r>
          </w:p>
        </w:tc>
        <w:tc>
          <w:tcPr>
            <w:tcW w:w="782" w:type="dxa"/>
            <w:tcBorders>
              <w:top w:val="single" w:sz="4" w:space="0" w:color="auto"/>
              <w:left w:val="nil"/>
              <w:bottom w:val="nil"/>
              <w:right w:val="nil"/>
            </w:tcBorders>
            <w:hideMark/>
          </w:tcPr>
          <w:p w14:paraId="1290D80C"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46</w:t>
            </w:r>
          </w:p>
        </w:tc>
        <w:tc>
          <w:tcPr>
            <w:tcW w:w="834" w:type="dxa"/>
            <w:tcBorders>
              <w:top w:val="single" w:sz="4" w:space="0" w:color="auto"/>
              <w:left w:val="nil"/>
              <w:bottom w:val="nil"/>
              <w:right w:val="nil"/>
            </w:tcBorders>
            <w:hideMark/>
          </w:tcPr>
          <w:p w14:paraId="59BCF1FD"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(100)</w:t>
            </w:r>
          </w:p>
        </w:tc>
        <w:tc>
          <w:tcPr>
            <w:tcW w:w="883" w:type="dxa"/>
            <w:tcBorders>
              <w:top w:val="single" w:sz="4" w:space="0" w:color="auto"/>
              <w:left w:val="nil"/>
              <w:bottom w:val="nil"/>
              <w:right w:val="nil"/>
            </w:tcBorders>
            <w:hideMark/>
          </w:tcPr>
          <w:p w14:paraId="409C6880"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.05</w:t>
            </w:r>
          </w:p>
        </w:tc>
      </w:tr>
      <w:tr w:rsidR="007D3D49" w:rsidRPr="00635DF7" w14:paraId="009F97C7" w14:textId="77777777" w:rsidTr="006C5EBE">
        <w:tc>
          <w:tcPr>
            <w:tcW w:w="2790" w:type="dxa"/>
            <w:hideMark/>
          </w:tcPr>
          <w:p w14:paraId="049ED2F8" w14:textId="77777777" w:rsidR="007D3D49" w:rsidRPr="00635DF7" w:rsidRDefault="007D3D49" w:rsidP="006C5EBE">
            <w:pPr>
              <w:rPr>
                <w:rFonts w:ascii="Times New Roman" w:hAnsi="Times New Roman" w:cs="Times New Roman"/>
              </w:rPr>
            </w:pPr>
            <w:r w:rsidRPr="00635DF7">
              <w:rPr>
                <w:rFonts w:ascii="Times New Roman" w:hAnsi="Times New Roman" w:cs="Times New Roman"/>
              </w:rPr>
              <w:t>Hispanic</w:t>
            </w:r>
          </w:p>
        </w:tc>
        <w:tc>
          <w:tcPr>
            <w:tcW w:w="640" w:type="dxa"/>
            <w:hideMark/>
          </w:tcPr>
          <w:p w14:paraId="5C101FA0"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3</w:t>
            </w:r>
          </w:p>
        </w:tc>
        <w:tc>
          <w:tcPr>
            <w:tcW w:w="796" w:type="dxa"/>
            <w:tcBorders>
              <w:top w:val="nil"/>
              <w:left w:val="nil"/>
              <w:bottom w:val="nil"/>
              <w:right w:val="single" w:sz="4" w:space="0" w:color="auto"/>
            </w:tcBorders>
            <w:hideMark/>
          </w:tcPr>
          <w:p w14:paraId="719A2B6B"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(3)</w:t>
            </w:r>
          </w:p>
        </w:tc>
        <w:tc>
          <w:tcPr>
            <w:tcW w:w="788" w:type="dxa"/>
            <w:tcBorders>
              <w:top w:val="nil"/>
              <w:left w:val="single" w:sz="4" w:space="0" w:color="auto"/>
              <w:bottom w:val="nil"/>
              <w:right w:val="nil"/>
            </w:tcBorders>
            <w:hideMark/>
          </w:tcPr>
          <w:p w14:paraId="42809019"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2</w:t>
            </w:r>
          </w:p>
        </w:tc>
        <w:tc>
          <w:tcPr>
            <w:tcW w:w="873" w:type="dxa"/>
            <w:hideMark/>
          </w:tcPr>
          <w:p w14:paraId="5924DC08"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(3)</w:t>
            </w:r>
          </w:p>
        </w:tc>
        <w:tc>
          <w:tcPr>
            <w:tcW w:w="782" w:type="dxa"/>
            <w:hideMark/>
          </w:tcPr>
          <w:p w14:paraId="761A0DA6"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1</w:t>
            </w:r>
          </w:p>
        </w:tc>
        <w:tc>
          <w:tcPr>
            <w:tcW w:w="834" w:type="dxa"/>
            <w:hideMark/>
          </w:tcPr>
          <w:p w14:paraId="608A84FA"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(2)</w:t>
            </w:r>
          </w:p>
        </w:tc>
        <w:tc>
          <w:tcPr>
            <w:tcW w:w="883" w:type="dxa"/>
            <w:hideMark/>
          </w:tcPr>
          <w:p w14:paraId="3D1C4569"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.74</w:t>
            </w:r>
          </w:p>
        </w:tc>
      </w:tr>
      <w:tr w:rsidR="007D3D49" w:rsidRPr="00635DF7" w14:paraId="29A139D3" w14:textId="77777777" w:rsidTr="006C5EBE">
        <w:tc>
          <w:tcPr>
            <w:tcW w:w="2790" w:type="dxa"/>
            <w:hideMark/>
          </w:tcPr>
          <w:p w14:paraId="058E5D7A" w14:textId="77777777" w:rsidR="007D3D49" w:rsidRPr="00635DF7" w:rsidRDefault="007D3D49" w:rsidP="006C5EBE">
            <w:pPr>
              <w:rPr>
                <w:rFonts w:ascii="Times New Roman" w:hAnsi="Times New Roman" w:cs="Times New Roman"/>
              </w:rPr>
            </w:pPr>
            <w:r w:rsidRPr="00635DF7">
              <w:rPr>
                <w:rFonts w:ascii="Times New Roman" w:hAnsi="Times New Roman" w:cs="Times New Roman"/>
              </w:rPr>
              <w:t>Race</w:t>
            </w:r>
          </w:p>
        </w:tc>
        <w:tc>
          <w:tcPr>
            <w:tcW w:w="640" w:type="dxa"/>
          </w:tcPr>
          <w:p w14:paraId="41A4BCEE" w14:textId="77777777" w:rsidR="007D3D49" w:rsidRPr="00635DF7" w:rsidRDefault="007D3D49" w:rsidP="006C5EBE">
            <w:pPr>
              <w:jc w:val="center"/>
              <w:rPr>
                <w:rFonts w:ascii="Times New Roman" w:hAnsi="Times New Roman" w:cs="Times New Roman"/>
              </w:rPr>
            </w:pPr>
          </w:p>
        </w:tc>
        <w:tc>
          <w:tcPr>
            <w:tcW w:w="796" w:type="dxa"/>
            <w:tcBorders>
              <w:top w:val="nil"/>
              <w:left w:val="nil"/>
              <w:bottom w:val="nil"/>
              <w:right w:val="single" w:sz="4" w:space="0" w:color="auto"/>
            </w:tcBorders>
          </w:tcPr>
          <w:p w14:paraId="67F0D0DB" w14:textId="77777777" w:rsidR="007D3D49" w:rsidRPr="00635DF7" w:rsidRDefault="007D3D49" w:rsidP="006C5EBE">
            <w:pPr>
              <w:jc w:val="center"/>
              <w:rPr>
                <w:rFonts w:ascii="Times New Roman" w:hAnsi="Times New Roman" w:cs="Times New Roman"/>
              </w:rPr>
            </w:pPr>
          </w:p>
        </w:tc>
        <w:tc>
          <w:tcPr>
            <w:tcW w:w="788" w:type="dxa"/>
            <w:tcBorders>
              <w:top w:val="nil"/>
              <w:left w:val="single" w:sz="4" w:space="0" w:color="auto"/>
              <w:bottom w:val="nil"/>
              <w:right w:val="nil"/>
            </w:tcBorders>
          </w:tcPr>
          <w:p w14:paraId="1C894CB5" w14:textId="77777777" w:rsidR="007D3D49" w:rsidRPr="00635DF7" w:rsidRDefault="007D3D49" w:rsidP="006C5EBE">
            <w:pPr>
              <w:jc w:val="center"/>
              <w:rPr>
                <w:rFonts w:ascii="Times New Roman" w:hAnsi="Times New Roman" w:cs="Times New Roman"/>
              </w:rPr>
            </w:pPr>
          </w:p>
        </w:tc>
        <w:tc>
          <w:tcPr>
            <w:tcW w:w="873" w:type="dxa"/>
          </w:tcPr>
          <w:p w14:paraId="5A508BDA" w14:textId="77777777" w:rsidR="007D3D49" w:rsidRPr="00635DF7" w:rsidRDefault="007D3D49" w:rsidP="006C5EBE">
            <w:pPr>
              <w:jc w:val="center"/>
              <w:rPr>
                <w:rFonts w:ascii="Times New Roman" w:hAnsi="Times New Roman" w:cs="Times New Roman"/>
              </w:rPr>
            </w:pPr>
          </w:p>
        </w:tc>
        <w:tc>
          <w:tcPr>
            <w:tcW w:w="782" w:type="dxa"/>
          </w:tcPr>
          <w:p w14:paraId="5F120AB4" w14:textId="77777777" w:rsidR="007D3D49" w:rsidRPr="00635DF7" w:rsidRDefault="007D3D49" w:rsidP="006C5EBE">
            <w:pPr>
              <w:jc w:val="center"/>
              <w:rPr>
                <w:rFonts w:ascii="Times New Roman" w:hAnsi="Times New Roman" w:cs="Times New Roman"/>
              </w:rPr>
            </w:pPr>
          </w:p>
        </w:tc>
        <w:tc>
          <w:tcPr>
            <w:tcW w:w="834" w:type="dxa"/>
          </w:tcPr>
          <w:p w14:paraId="5231736E" w14:textId="77777777" w:rsidR="007D3D49" w:rsidRPr="00635DF7" w:rsidRDefault="007D3D49" w:rsidP="006C5EBE">
            <w:pPr>
              <w:jc w:val="center"/>
              <w:rPr>
                <w:rFonts w:ascii="Times New Roman" w:hAnsi="Times New Roman" w:cs="Times New Roman"/>
              </w:rPr>
            </w:pPr>
          </w:p>
        </w:tc>
        <w:tc>
          <w:tcPr>
            <w:tcW w:w="883" w:type="dxa"/>
          </w:tcPr>
          <w:p w14:paraId="4E262D35" w14:textId="77777777" w:rsidR="007D3D49" w:rsidRPr="00635DF7" w:rsidRDefault="007D3D49" w:rsidP="006C5EBE">
            <w:pPr>
              <w:jc w:val="center"/>
              <w:rPr>
                <w:rFonts w:ascii="Times New Roman" w:hAnsi="Times New Roman" w:cs="Times New Roman"/>
              </w:rPr>
            </w:pPr>
          </w:p>
        </w:tc>
      </w:tr>
      <w:tr w:rsidR="007D3D49" w:rsidRPr="00635DF7" w14:paraId="45469601" w14:textId="77777777" w:rsidTr="006C5EBE">
        <w:tc>
          <w:tcPr>
            <w:tcW w:w="2790" w:type="dxa"/>
            <w:hideMark/>
          </w:tcPr>
          <w:p w14:paraId="293418E3" w14:textId="77777777" w:rsidR="007D3D49" w:rsidRPr="00635DF7" w:rsidRDefault="007D3D49" w:rsidP="006C5EBE">
            <w:pPr>
              <w:ind w:left="337"/>
              <w:rPr>
                <w:rFonts w:ascii="Times New Roman" w:hAnsi="Times New Roman" w:cs="Times New Roman"/>
              </w:rPr>
            </w:pPr>
            <w:r w:rsidRPr="00635DF7">
              <w:rPr>
                <w:rFonts w:ascii="Times New Roman" w:hAnsi="Times New Roman" w:cs="Times New Roman"/>
              </w:rPr>
              <w:t>White</w:t>
            </w:r>
          </w:p>
        </w:tc>
        <w:tc>
          <w:tcPr>
            <w:tcW w:w="640" w:type="dxa"/>
            <w:hideMark/>
          </w:tcPr>
          <w:p w14:paraId="4EAB9002"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106</w:t>
            </w:r>
          </w:p>
        </w:tc>
        <w:tc>
          <w:tcPr>
            <w:tcW w:w="796" w:type="dxa"/>
            <w:tcBorders>
              <w:top w:val="nil"/>
              <w:left w:val="nil"/>
              <w:bottom w:val="nil"/>
              <w:right w:val="single" w:sz="4" w:space="0" w:color="auto"/>
            </w:tcBorders>
            <w:hideMark/>
          </w:tcPr>
          <w:p w14:paraId="26C08ADF"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(96)</w:t>
            </w:r>
          </w:p>
        </w:tc>
        <w:tc>
          <w:tcPr>
            <w:tcW w:w="788" w:type="dxa"/>
            <w:tcBorders>
              <w:top w:val="nil"/>
              <w:left w:val="single" w:sz="4" w:space="0" w:color="auto"/>
              <w:bottom w:val="nil"/>
              <w:right w:val="nil"/>
            </w:tcBorders>
            <w:hideMark/>
          </w:tcPr>
          <w:p w14:paraId="439C674D"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59</w:t>
            </w:r>
          </w:p>
        </w:tc>
        <w:tc>
          <w:tcPr>
            <w:tcW w:w="873" w:type="dxa"/>
            <w:hideMark/>
          </w:tcPr>
          <w:p w14:paraId="6233CA17"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(94)</w:t>
            </w:r>
          </w:p>
        </w:tc>
        <w:tc>
          <w:tcPr>
            <w:tcW w:w="782" w:type="dxa"/>
            <w:hideMark/>
          </w:tcPr>
          <w:p w14:paraId="77DCBB61"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47</w:t>
            </w:r>
          </w:p>
        </w:tc>
        <w:tc>
          <w:tcPr>
            <w:tcW w:w="834" w:type="dxa"/>
            <w:hideMark/>
          </w:tcPr>
          <w:p w14:paraId="6A0D6F13"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(100)</w:t>
            </w:r>
          </w:p>
        </w:tc>
        <w:tc>
          <w:tcPr>
            <w:tcW w:w="883" w:type="dxa"/>
            <w:hideMark/>
          </w:tcPr>
          <w:p w14:paraId="206B090A"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.08</w:t>
            </w:r>
          </w:p>
        </w:tc>
      </w:tr>
      <w:tr w:rsidR="007D3D49" w:rsidRPr="00635DF7" w14:paraId="369F4C0A" w14:textId="77777777" w:rsidTr="006C5EBE">
        <w:tc>
          <w:tcPr>
            <w:tcW w:w="2790" w:type="dxa"/>
            <w:hideMark/>
          </w:tcPr>
          <w:p w14:paraId="3FF5883E" w14:textId="77777777" w:rsidR="007D3D49" w:rsidRPr="00635DF7" w:rsidRDefault="007D3D49" w:rsidP="006C5EBE">
            <w:pPr>
              <w:ind w:left="337"/>
              <w:rPr>
                <w:rFonts w:ascii="Times New Roman" w:hAnsi="Times New Roman" w:cs="Times New Roman"/>
              </w:rPr>
            </w:pPr>
            <w:r w:rsidRPr="00635DF7">
              <w:rPr>
                <w:rFonts w:ascii="Times New Roman" w:hAnsi="Times New Roman" w:cs="Times New Roman"/>
              </w:rPr>
              <w:t>Black</w:t>
            </w:r>
          </w:p>
        </w:tc>
        <w:tc>
          <w:tcPr>
            <w:tcW w:w="640" w:type="dxa"/>
            <w:hideMark/>
          </w:tcPr>
          <w:p w14:paraId="4978913C"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1</w:t>
            </w:r>
          </w:p>
        </w:tc>
        <w:tc>
          <w:tcPr>
            <w:tcW w:w="796" w:type="dxa"/>
            <w:tcBorders>
              <w:top w:val="nil"/>
              <w:left w:val="nil"/>
              <w:bottom w:val="nil"/>
              <w:right w:val="single" w:sz="4" w:space="0" w:color="auto"/>
            </w:tcBorders>
            <w:hideMark/>
          </w:tcPr>
          <w:p w14:paraId="3168750D"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(1)</w:t>
            </w:r>
          </w:p>
        </w:tc>
        <w:tc>
          <w:tcPr>
            <w:tcW w:w="788" w:type="dxa"/>
            <w:tcBorders>
              <w:top w:val="nil"/>
              <w:left w:val="single" w:sz="4" w:space="0" w:color="auto"/>
              <w:bottom w:val="nil"/>
              <w:right w:val="nil"/>
            </w:tcBorders>
            <w:hideMark/>
          </w:tcPr>
          <w:p w14:paraId="0F5F4DCA"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1</w:t>
            </w:r>
          </w:p>
        </w:tc>
        <w:tc>
          <w:tcPr>
            <w:tcW w:w="873" w:type="dxa"/>
            <w:hideMark/>
          </w:tcPr>
          <w:p w14:paraId="5637FE98"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(2)</w:t>
            </w:r>
          </w:p>
        </w:tc>
        <w:tc>
          <w:tcPr>
            <w:tcW w:w="782" w:type="dxa"/>
            <w:hideMark/>
          </w:tcPr>
          <w:p w14:paraId="3D2F009C"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0</w:t>
            </w:r>
          </w:p>
        </w:tc>
        <w:tc>
          <w:tcPr>
            <w:tcW w:w="834" w:type="dxa"/>
            <w:hideMark/>
          </w:tcPr>
          <w:p w14:paraId="4F373005"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(0)</w:t>
            </w:r>
          </w:p>
        </w:tc>
        <w:tc>
          <w:tcPr>
            <w:tcW w:w="883" w:type="dxa"/>
            <w:hideMark/>
          </w:tcPr>
          <w:p w14:paraId="133A175F"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.38</w:t>
            </w:r>
          </w:p>
        </w:tc>
      </w:tr>
      <w:tr w:rsidR="007D3D49" w:rsidRPr="00635DF7" w14:paraId="301058DE" w14:textId="77777777" w:rsidTr="006C5EBE">
        <w:tc>
          <w:tcPr>
            <w:tcW w:w="2790" w:type="dxa"/>
            <w:hideMark/>
          </w:tcPr>
          <w:p w14:paraId="1834DBC6" w14:textId="77777777" w:rsidR="007D3D49" w:rsidRPr="00635DF7" w:rsidRDefault="007D3D49" w:rsidP="006C5EBE">
            <w:pPr>
              <w:ind w:left="-9"/>
              <w:rPr>
                <w:rFonts w:ascii="Times New Roman" w:hAnsi="Times New Roman" w:cs="Times New Roman"/>
              </w:rPr>
            </w:pPr>
            <w:r w:rsidRPr="00635DF7">
              <w:rPr>
                <w:rFonts w:ascii="Times New Roman" w:hAnsi="Times New Roman" w:cs="Times New Roman"/>
              </w:rPr>
              <w:t>Single</w:t>
            </w:r>
          </w:p>
        </w:tc>
        <w:tc>
          <w:tcPr>
            <w:tcW w:w="640" w:type="dxa"/>
            <w:hideMark/>
          </w:tcPr>
          <w:p w14:paraId="3EE000FD"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56</w:t>
            </w:r>
          </w:p>
        </w:tc>
        <w:tc>
          <w:tcPr>
            <w:tcW w:w="796" w:type="dxa"/>
            <w:tcBorders>
              <w:top w:val="nil"/>
              <w:left w:val="nil"/>
              <w:bottom w:val="nil"/>
              <w:right w:val="single" w:sz="4" w:space="0" w:color="auto"/>
            </w:tcBorders>
            <w:hideMark/>
          </w:tcPr>
          <w:p w14:paraId="3292BD62"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(51)</w:t>
            </w:r>
          </w:p>
        </w:tc>
        <w:tc>
          <w:tcPr>
            <w:tcW w:w="788" w:type="dxa"/>
            <w:tcBorders>
              <w:top w:val="nil"/>
              <w:left w:val="single" w:sz="4" w:space="0" w:color="auto"/>
              <w:bottom w:val="nil"/>
              <w:right w:val="nil"/>
            </w:tcBorders>
            <w:hideMark/>
          </w:tcPr>
          <w:p w14:paraId="4278196A"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38</w:t>
            </w:r>
          </w:p>
        </w:tc>
        <w:tc>
          <w:tcPr>
            <w:tcW w:w="873" w:type="dxa"/>
            <w:hideMark/>
          </w:tcPr>
          <w:p w14:paraId="1473D5EC"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(60)</w:t>
            </w:r>
          </w:p>
        </w:tc>
        <w:tc>
          <w:tcPr>
            <w:tcW w:w="782" w:type="dxa"/>
            <w:hideMark/>
          </w:tcPr>
          <w:p w14:paraId="3AE26D1E"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18</w:t>
            </w:r>
          </w:p>
        </w:tc>
        <w:tc>
          <w:tcPr>
            <w:tcW w:w="834" w:type="dxa"/>
            <w:hideMark/>
          </w:tcPr>
          <w:p w14:paraId="1B80DC16"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(38)</w:t>
            </w:r>
          </w:p>
        </w:tc>
        <w:tc>
          <w:tcPr>
            <w:tcW w:w="883" w:type="dxa"/>
            <w:hideMark/>
          </w:tcPr>
          <w:p w14:paraId="3987F6B5" w14:textId="77777777" w:rsidR="007D3D49" w:rsidRPr="00635DF7" w:rsidRDefault="007D3D49" w:rsidP="006C5EBE">
            <w:pPr>
              <w:jc w:val="center"/>
              <w:rPr>
                <w:rFonts w:ascii="Times New Roman" w:hAnsi="Times New Roman" w:cs="Times New Roman"/>
                <w:b/>
              </w:rPr>
            </w:pPr>
            <w:r w:rsidRPr="00635DF7">
              <w:rPr>
                <w:rFonts w:ascii="Times New Roman" w:hAnsi="Times New Roman" w:cs="Times New Roman"/>
                <w:b/>
              </w:rPr>
              <w:t>.02</w:t>
            </w:r>
          </w:p>
        </w:tc>
      </w:tr>
      <w:tr w:rsidR="007D3D49" w:rsidRPr="00635DF7" w14:paraId="7D09E377" w14:textId="77777777" w:rsidTr="006C5EBE">
        <w:tc>
          <w:tcPr>
            <w:tcW w:w="3430" w:type="dxa"/>
            <w:gridSpan w:val="2"/>
            <w:hideMark/>
          </w:tcPr>
          <w:p w14:paraId="7E2E11B0" w14:textId="77777777" w:rsidR="007D3D49" w:rsidRPr="00635DF7" w:rsidRDefault="007D3D49" w:rsidP="006C5EBE">
            <w:pPr>
              <w:rPr>
                <w:rFonts w:ascii="Times New Roman" w:hAnsi="Times New Roman" w:cs="Times New Roman"/>
              </w:rPr>
            </w:pPr>
            <w:r w:rsidRPr="00635DF7">
              <w:rPr>
                <w:rFonts w:ascii="Times New Roman" w:hAnsi="Times New Roman" w:cs="Times New Roman"/>
              </w:rPr>
              <w:t>Educational Attainment</w:t>
            </w:r>
          </w:p>
        </w:tc>
        <w:tc>
          <w:tcPr>
            <w:tcW w:w="796" w:type="dxa"/>
            <w:tcBorders>
              <w:top w:val="nil"/>
              <w:left w:val="nil"/>
              <w:bottom w:val="nil"/>
              <w:right w:val="single" w:sz="4" w:space="0" w:color="auto"/>
            </w:tcBorders>
          </w:tcPr>
          <w:p w14:paraId="4869935C" w14:textId="77777777" w:rsidR="007D3D49" w:rsidRPr="00635DF7" w:rsidRDefault="007D3D49" w:rsidP="006C5EBE">
            <w:pPr>
              <w:jc w:val="center"/>
              <w:rPr>
                <w:rFonts w:ascii="Times New Roman" w:hAnsi="Times New Roman" w:cs="Times New Roman"/>
              </w:rPr>
            </w:pPr>
          </w:p>
        </w:tc>
        <w:tc>
          <w:tcPr>
            <w:tcW w:w="788" w:type="dxa"/>
            <w:tcBorders>
              <w:top w:val="nil"/>
              <w:left w:val="single" w:sz="4" w:space="0" w:color="auto"/>
              <w:bottom w:val="nil"/>
              <w:right w:val="nil"/>
            </w:tcBorders>
          </w:tcPr>
          <w:p w14:paraId="1547052B" w14:textId="77777777" w:rsidR="007D3D49" w:rsidRPr="00635DF7" w:rsidRDefault="007D3D49" w:rsidP="006C5EBE">
            <w:pPr>
              <w:jc w:val="center"/>
              <w:rPr>
                <w:rFonts w:ascii="Times New Roman" w:hAnsi="Times New Roman" w:cs="Times New Roman"/>
              </w:rPr>
            </w:pPr>
          </w:p>
        </w:tc>
        <w:tc>
          <w:tcPr>
            <w:tcW w:w="873" w:type="dxa"/>
          </w:tcPr>
          <w:p w14:paraId="609E06CE" w14:textId="77777777" w:rsidR="007D3D49" w:rsidRPr="00635DF7" w:rsidRDefault="007D3D49" w:rsidP="006C5EBE">
            <w:pPr>
              <w:jc w:val="center"/>
              <w:rPr>
                <w:rFonts w:ascii="Times New Roman" w:hAnsi="Times New Roman" w:cs="Times New Roman"/>
              </w:rPr>
            </w:pPr>
          </w:p>
        </w:tc>
        <w:tc>
          <w:tcPr>
            <w:tcW w:w="782" w:type="dxa"/>
          </w:tcPr>
          <w:p w14:paraId="2977F1EA" w14:textId="77777777" w:rsidR="007D3D49" w:rsidRPr="00635DF7" w:rsidRDefault="007D3D49" w:rsidP="006C5EBE">
            <w:pPr>
              <w:jc w:val="center"/>
              <w:rPr>
                <w:rFonts w:ascii="Times New Roman" w:hAnsi="Times New Roman" w:cs="Times New Roman"/>
              </w:rPr>
            </w:pPr>
          </w:p>
        </w:tc>
        <w:tc>
          <w:tcPr>
            <w:tcW w:w="834" w:type="dxa"/>
          </w:tcPr>
          <w:p w14:paraId="7988791E" w14:textId="77777777" w:rsidR="007D3D49" w:rsidRPr="00635DF7" w:rsidRDefault="007D3D49" w:rsidP="006C5EBE">
            <w:pPr>
              <w:jc w:val="center"/>
              <w:rPr>
                <w:rFonts w:ascii="Times New Roman" w:hAnsi="Times New Roman" w:cs="Times New Roman"/>
              </w:rPr>
            </w:pPr>
          </w:p>
        </w:tc>
        <w:tc>
          <w:tcPr>
            <w:tcW w:w="883" w:type="dxa"/>
          </w:tcPr>
          <w:p w14:paraId="039B6F4F" w14:textId="77777777" w:rsidR="007D3D49" w:rsidRPr="00635DF7" w:rsidRDefault="007D3D49" w:rsidP="006C5EBE">
            <w:pPr>
              <w:jc w:val="center"/>
              <w:rPr>
                <w:rFonts w:ascii="Times New Roman" w:hAnsi="Times New Roman" w:cs="Times New Roman"/>
              </w:rPr>
            </w:pPr>
          </w:p>
        </w:tc>
      </w:tr>
      <w:tr w:rsidR="007D3D49" w:rsidRPr="00635DF7" w14:paraId="6185EC52" w14:textId="77777777" w:rsidTr="006C5EBE">
        <w:tc>
          <w:tcPr>
            <w:tcW w:w="2790" w:type="dxa"/>
            <w:hideMark/>
          </w:tcPr>
          <w:p w14:paraId="7F684E27" w14:textId="77777777" w:rsidR="007D3D49" w:rsidRPr="00635DF7" w:rsidRDefault="007D3D49" w:rsidP="006C5EBE">
            <w:pPr>
              <w:ind w:left="337"/>
              <w:rPr>
                <w:rFonts w:ascii="Times New Roman" w:hAnsi="Times New Roman" w:cs="Times New Roman"/>
              </w:rPr>
            </w:pPr>
            <w:r w:rsidRPr="00635DF7">
              <w:rPr>
                <w:rFonts w:ascii="Times New Roman" w:hAnsi="Times New Roman" w:cs="Times New Roman"/>
              </w:rPr>
              <w:t xml:space="preserve">Less than high school </w:t>
            </w:r>
          </w:p>
        </w:tc>
        <w:tc>
          <w:tcPr>
            <w:tcW w:w="640" w:type="dxa"/>
            <w:hideMark/>
          </w:tcPr>
          <w:p w14:paraId="5F8B2D2B"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13</w:t>
            </w:r>
          </w:p>
        </w:tc>
        <w:tc>
          <w:tcPr>
            <w:tcW w:w="796" w:type="dxa"/>
            <w:tcBorders>
              <w:top w:val="nil"/>
              <w:left w:val="nil"/>
              <w:bottom w:val="nil"/>
              <w:right w:val="single" w:sz="4" w:space="0" w:color="auto"/>
            </w:tcBorders>
            <w:hideMark/>
          </w:tcPr>
          <w:p w14:paraId="7950C653"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(12)</w:t>
            </w:r>
          </w:p>
        </w:tc>
        <w:tc>
          <w:tcPr>
            <w:tcW w:w="788" w:type="dxa"/>
            <w:tcBorders>
              <w:top w:val="nil"/>
              <w:left w:val="single" w:sz="4" w:space="0" w:color="auto"/>
              <w:bottom w:val="nil"/>
              <w:right w:val="nil"/>
            </w:tcBorders>
            <w:hideMark/>
          </w:tcPr>
          <w:p w14:paraId="2AD55A16"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11</w:t>
            </w:r>
          </w:p>
        </w:tc>
        <w:tc>
          <w:tcPr>
            <w:tcW w:w="873" w:type="dxa"/>
            <w:hideMark/>
          </w:tcPr>
          <w:p w14:paraId="55EDC240"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(17)</w:t>
            </w:r>
          </w:p>
        </w:tc>
        <w:tc>
          <w:tcPr>
            <w:tcW w:w="782" w:type="dxa"/>
            <w:hideMark/>
          </w:tcPr>
          <w:p w14:paraId="1D41FD4D"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2</w:t>
            </w:r>
          </w:p>
        </w:tc>
        <w:tc>
          <w:tcPr>
            <w:tcW w:w="834" w:type="dxa"/>
            <w:hideMark/>
          </w:tcPr>
          <w:p w14:paraId="079F239B"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(4)</w:t>
            </w:r>
          </w:p>
        </w:tc>
        <w:tc>
          <w:tcPr>
            <w:tcW w:w="883" w:type="dxa"/>
            <w:hideMark/>
          </w:tcPr>
          <w:p w14:paraId="7F25A05C" w14:textId="77777777" w:rsidR="007D3D49" w:rsidRPr="00635DF7" w:rsidRDefault="007D3D49" w:rsidP="006C5EBE">
            <w:pPr>
              <w:jc w:val="center"/>
              <w:rPr>
                <w:rFonts w:ascii="Times New Roman" w:hAnsi="Times New Roman" w:cs="Times New Roman"/>
                <w:b/>
              </w:rPr>
            </w:pPr>
            <w:r w:rsidRPr="00635DF7">
              <w:rPr>
                <w:rFonts w:ascii="Times New Roman" w:hAnsi="Times New Roman" w:cs="Times New Roman"/>
                <w:b/>
              </w:rPr>
              <w:t>.03</w:t>
            </w:r>
          </w:p>
        </w:tc>
      </w:tr>
      <w:tr w:rsidR="007D3D49" w:rsidRPr="00635DF7" w14:paraId="5460EE95" w14:textId="77777777" w:rsidTr="006C5EBE">
        <w:tc>
          <w:tcPr>
            <w:tcW w:w="2790" w:type="dxa"/>
            <w:hideMark/>
          </w:tcPr>
          <w:p w14:paraId="69C7EC37" w14:textId="77777777" w:rsidR="007D3D49" w:rsidRPr="00635DF7" w:rsidRDefault="007D3D49" w:rsidP="006C5EBE">
            <w:pPr>
              <w:ind w:left="337"/>
              <w:rPr>
                <w:rFonts w:ascii="Times New Roman" w:hAnsi="Times New Roman" w:cs="Times New Roman"/>
              </w:rPr>
            </w:pPr>
            <w:r w:rsidRPr="00635DF7">
              <w:rPr>
                <w:rFonts w:ascii="Times New Roman" w:hAnsi="Times New Roman" w:cs="Times New Roman"/>
              </w:rPr>
              <w:t>High school or GED</w:t>
            </w:r>
          </w:p>
        </w:tc>
        <w:tc>
          <w:tcPr>
            <w:tcW w:w="640" w:type="dxa"/>
            <w:hideMark/>
          </w:tcPr>
          <w:p w14:paraId="35BDDF6F"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52</w:t>
            </w:r>
          </w:p>
        </w:tc>
        <w:tc>
          <w:tcPr>
            <w:tcW w:w="796" w:type="dxa"/>
            <w:tcBorders>
              <w:top w:val="nil"/>
              <w:left w:val="nil"/>
              <w:bottom w:val="nil"/>
              <w:right w:val="single" w:sz="4" w:space="0" w:color="auto"/>
            </w:tcBorders>
            <w:hideMark/>
          </w:tcPr>
          <w:p w14:paraId="50317CEA"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(47)</w:t>
            </w:r>
          </w:p>
        </w:tc>
        <w:tc>
          <w:tcPr>
            <w:tcW w:w="788" w:type="dxa"/>
            <w:tcBorders>
              <w:top w:val="nil"/>
              <w:left w:val="single" w:sz="4" w:space="0" w:color="auto"/>
              <w:bottom w:val="nil"/>
              <w:right w:val="nil"/>
            </w:tcBorders>
            <w:hideMark/>
          </w:tcPr>
          <w:p w14:paraId="159203D0"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30</w:t>
            </w:r>
          </w:p>
        </w:tc>
        <w:tc>
          <w:tcPr>
            <w:tcW w:w="873" w:type="dxa"/>
            <w:hideMark/>
          </w:tcPr>
          <w:p w14:paraId="1DA8FE22"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(48)</w:t>
            </w:r>
          </w:p>
        </w:tc>
        <w:tc>
          <w:tcPr>
            <w:tcW w:w="782" w:type="dxa"/>
            <w:hideMark/>
          </w:tcPr>
          <w:p w14:paraId="772A2156"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22</w:t>
            </w:r>
          </w:p>
        </w:tc>
        <w:tc>
          <w:tcPr>
            <w:tcW w:w="834" w:type="dxa"/>
            <w:hideMark/>
          </w:tcPr>
          <w:p w14:paraId="264DC8EB"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(47)</w:t>
            </w:r>
          </w:p>
        </w:tc>
        <w:tc>
          <w:tcPr>
            <w:tcW w:w="883" w:type="dxa"/>
            <w:hideMark/>
          </w:tcPr>
          <w:p w14:paraId="1121AFC6"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.93</w:t>
            </w:r>
          </w:p>
        </w:tc>
      </w:tr>
      <w:tr w:rsidR="007D3D49" w:rsidRPr="00635DF7" w14:paraId="1EA64F2D" w14:textId="77777777" w:rsidTr="006C5EBE">
        <w:tc>
          <w:tcPr>
            <w:tcW w:w="2790" w:type="dxa"/>
            <w:hideMark/>
          </w:tcPr>
          <w:p w14:paraId="25ADB80D" w14:textId="77777777" w:rsidR="007D3D49" w:rsidRPr="00635DF7" w:rsidRDefault="007D3D49" w:rsidP="006C5EBE">
            <w:pPr>
              <w:ind w:left="337"/>
              <w:rPr>
                <w:rFonts w:ascii="Times New Roman" w:hAnsi="Times New Roman" w:cs="Times New Roman"/>
              </w:rPr>
            </w:pPr>
            <w:r w:rsidRPr="00635DF7">
              <w:rPr>
                <w:rFonts w:ascii="Times New Roman" w:hAnsi="Times New Roman" w:cs="Times New Roman"/>
              </w:rPr>
              <w:t>Some college</w:t>
            </w:r>
          </w:p>
        </w:tc>
        <w:tc>
          <w:tcPr>
            <w:tcW w:w="640" w:type="dxa"/>
            <w:hideMark/>
          </w:tcPr>
          <w:p w14:paraId="147A901C"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22</w:t>
            </w:r>
          </w:p>
        </w:tc>
        <w:tc>
          <w:tcPr>
            <w:tcW w:w="796" w:type="dxa"/>
            <w:tcBorders>
              <w:top w:val="nil"/>
              <w:left w:val="nil"/>
              <w:bottom w:val="nil"/>
              <w:right w:val="single" w:sz="4" w:space="0" w:color="auto"/>
            </w:tcBorders>
            <w:hideMark/>
          </w:tcPr>
          <w:p w14:paraId="3CF73D4A"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(20)</w:t>
            </w:r>
          </w:p>
        </w:tc>
        <w:tc>
          <w:tcPr>
            <w:tcW w:w="788" w:type="dxa"/>
            <w:tcBorders>
              <w:top w:val="nil"/>
              <w:left w:val="single" w:sz="4" w:space="0" w:color="auto"/>
              <w:bottom w:val="nil"/>
              <w:right w:val="nil"/>
            </w:tcBorders>
            <w:hideMark/>
          </w:tcPr>
          <w:p w14:paraId="73F725C8"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14</w:t>
            </w:r>
          </w:p>
        </w:tc>
        <w:tc>
          <w:tcPr>
            <w:tcW w:w="873" w:type="dxa"/>
            <w:hideMark/>
          </w:tcPr>
          <w:p w14:paraId="6B716B0E"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(22)</w:t>
            </w:r>
          </w:p>
        </w:tc>
        <w:tc>
          <w:tcPr>
            <w:tcW w:w="782" w:type="dxa"/>
            <w:hideMark/>
          </w:tcPr>
          <w:p w14:paraId="7924EC99"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8</w:t>
            </w:r>
          </w:p>
        </w:tc>
        <w:tc>
          <w:tcPr>
            <w:tcW w:w="834" w:type="dxa"/>
            <w:hideMark/>
          </w:tcPr>
          <w:p w14:paraId="189594CF"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(17)</w:t>
            </w:r>
          </w:p>
        </w:tc>
        <w:tc>
          <w:tcPr>
            <w:tcW w:w="883" w:type="dxa"/>
            <w:hideMark/>
          </w:tcPr>
          <w:p w14:paraId="3D7A79FA"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.50</w:t>
            </w:r>
          </w:p>
        </w:tc>
      </w:tr>
      <w:tr w:rsidR="007D3D49" w:rsidRPr="00635DF7" w14:paraId="06B82094" w14:textId="77777777" w:rsidTr="006C5EBE">
        <w:tc>
          <w:tcPr>
            <w:tcW w:w="2790" w:type="dxa"/>
            <w:hideMark/>
          </w:tcPr>
          <w:p w14:paraId="6D3845A4" w14:textId="77777777" w:rsidR="007D3D49" w:rsidRPr="00635DF7" w:rsidRDefault="007D3D49" w:rsidP="006C5EBE">
            <w:pPr>
              <w:ind w:left="613" w:hanging="270"/>
              <w:rPr>
                <w:rFonts w:ascii="Times New Roman" w:hAnsi="Times New Roman" w:cs="Times New Roman"/>
              </w:rPr>
            </w:pPr>
            <w:r w:rsidRPr="00635DF7">
              <w:rPr>
                <w:rFonts w:ascii="Times New Roman" w:hAnsi="Times New Roman" w:cs="Times New Roman"/>
              </w:rPr>
              <w:t>College graduate or advanced degree</w:t>
            </w:r>
          </w:p>
        </w:tc>
        <w:tc>
          <w:tcPr>
            <w:tcW w:w="640" w:type="dxa"/>
            <w:hideMark/>
          </w:tcPr>
          <w:p w14:paraId="22D48BAE"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23</w:t>
            </w:r>
          </w:p>
        </w:tc>
        <w:tc>
          <w:tcPr>
            <w:tcW w:w="796" w:type="dxa"/>
            <w:tcBorders>
              <w:top w:val="nil"/>
              <w:left w:val="nil"/>
              <w:bottom w:val="nil"/>
              <w:right w:val="single" w:sz="4" w:space="0" w:color="auto"/>
            </w:tcBorders>
            <w:hideMark/>
          </w:tcPr>
          <w:p w14:paraId="4EFF69A7"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(21)</w:t>
            </w:r>
          </w:p>
        </w:tc>
        <w:tc>
          <w:tcPr>
            <w:tcW w:w="788" w:type="dxa"/>
            <w:tcBorders>
              <w:top w:val="nil"/>
              <w:left w:val="single" w:sz="4" w:space="0" w:color="auto"/>
              <w:bottom w:val="nil"/>
              <w:right w:val="nil"/>
            </w:tcBorders>
            <w:hideMark/>
          </w:tcPr>
          <w:p w14:paraId="37850489"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8</w:t>
            </w:r>
          </w:p>
        </w:tc>
        <w:tc>
          <w:tcPr>
            <w:tcW w:w="873" w:type="dxa"/>
            <w:hideMark/>
          </w:tcPr>
          <w:p w14:paraId="050BBF95"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(13)</w:t>
            </w:r>
          </w:p>
        </w:tc>
        <w:tc>
          <w:tcPr>
            <w:tcW w:w="782" w:type="dxa"/>
            <w:hideMark/>
          </w:tcPr>
          <w:p w14:paraId="2EC1795E"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15</w:t>
            </w:r>
          </w:p>
        </w:tc>
        <w:tc>
          <w:tcPr>
            <w:tcW w:w="834" w:type="dxa"/>
            <w:hideMark/>
          </w:tcPr>
          <w:p w14:paraId="4F59D481"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(32)</w:t>
            </w:r>
          </w:p>
        </w:tc>
        <w:tc>
          <w:tcPr>
            <w:tcW w:w="883" w:type="dxa"/>
            <w:hideMark/>
          </w:tcPr>
          <w:p w14:paraId="443A2C09" w14:textId="77777777" w:rsidR="007D3D49" w:rsidRPr="00635DF7" w:rsidRDefault="007D3D49" w:rsidP="006C5EBE">
            <w:pPr>
              <w:jc w:val="center"/>
              <w:rPr>
                <w:rFonts w:ascii="Times New Roman" w:hAnsi="Times New Roman" w:cs="Times New Roman"/>
                <w:b/>
              </w:rPr>
            </w:pPr>
            <w:r w:rsidRPr="00635DF7">
              <w:rPr>
                <w:rFonts w:ascii="Times New Roman" w:hAnsi="Times New Roman" w:cs="Times New Roman"/>
                <w:b/>
              </w:rPr>
              <w:t>.01</w:t>
            </w:r>
          </w:p>
        </w:tc>
      </w:tr>
      <w:tr w:rsidR="007D3D49" w:rsidRPr="00635DF7" w14:paraId="3547D003" w14:textId="77777777" w:rsidTr="006C5EBE">
        <w:tc>
          <w:tcPr>
            <w:tcW w:w="2790" w:type="dxa"/>
            <w:hideMark/>
          </w:tcPr>
          <w:p w14:paraId="60C66FEE" w14:textId="77777777" w:rsidR="007D3D49" w:rsidRPr="00635DF7" w:rsidRDefault="007D3D49" w:rsidP="006C5EBE">
            <w:pPr>
              <w:rPr>
                <w:rFonts w:ascii="Times New Roman" w:hAnsi="Times New Roman" w:cs="Times New Roman"/>
              </w:rPr>
            </w:pPr>
            <w:r w:rsidRPr="00635DF7">
              <w:rPr>
                <w:rFonts w:ascii="Times New Roman" w:hAnsi="Times New Roman" w:cs="Times New Roman"/>
              </w:rPr>
              <w:t>Income</w:t>
            </w:r>
          </w:p>
        </w:tc>
        <w:tc>
          <w:tcPr>
            <w:tcW w:w="640" w:type="dxa"/>
          </w:tcPr>
          <w:p w14:paraId="37C0F712" w14:textId="77777777" w:rsidR="007D3D49" w:rsidRPr="00635DF7" w:rsidRDefault="007D3D49" w:rsidP="006C5EBE">
            <w:pPr>
              <w:jc w:val="center"/>
              <w:rPr>
                <w:rFonts w:ascii="Times New Roman" w:hAnsi="Times New Roman" w:cs="Times New Roman"/>
              </w:rPr>
            </w:pPr>
          </w:p>
        </w:tc>
        <w:tc>
          <w:tcPr>
            <w:tcW w:w="796" w:type="dxa"/>
            <w:tcBorders>
              <w:top w:val="nil"/>
              <w:left w:val="nil"/>
              <w:bottom w:val="nil"/>
              <w:right w:val="single" w:sz="4" w:space="0" w:color="auto"/>
            </w:tcBorders>
          </w:tcPr>
          <w:p w14:paraId="00D33FD1" w14:textId="77777777" w:rsidR="007D3D49" w:rsidRPr="00635DF7" w:rsidRDefault="007D3D49" w:rsidP="006C5EBE">
            <w:pPr>
              <w:jc w:val="center"/>
              <w:rPr>
                <w:rFonts w:ascii="Times New Roman" w:hAnsi="Times New Roman" w:cs="Times New Roman"/>
              </w:rPr>
            </w:pPr>
          </w:p>
        </w:tc>
        <w:tc>
          <w:tcPr>
            <w:tcW w:w="788" w:type="dxa"/>
            <w:tcBorders>
              <w:top w:val="nil"/>
              <w:left w:val="single" w:sz="4" w:space="0" w:color="auto"/>
              <w:bottom w:val="nil"/>
              <w:right w:val="nil"/>
            </w:tcBorders>
          </w:tcPr>
          <w:p w14:paraId="4343D2F9" w14:textId="77777777" w:rsidR="007D3D49" w:rsidRPr="00635DF7" w:rsidRDefault="007D3D49" w:rsidP="006C5EBE">
            <w:pPr>
              <w:jc w:val="center"/>
              <w:rPr>
                <w:rFonts w:ascii="Times New Roman" w:hAnsi="Times New Roman" w:cs="Times New Roman"/>
              </w:rPr>
            </w:pPr>
          </w:p>
        </w:tc>
        <w:tc>
          <w:tcPr>
            <w:tcW w:w="873" w:type="dxa"/>
          </w:tcPr>
          <w:p w14:paraId="1C016E15" w14:textId="77777777" w:rsidR="007D3D49" w:rsidRPr="00635DF7" w:rsidRDefault="007D3D49" w:rsidP="006C5EBE">
            <w:pPr>
              <w:jc w:val="center"/>
              <w:rPr>
                <w:rFonts w:ascii="Times New Roman" w:hAnsi="Times New Roman" w:cs="Times New Roman"/>
              </w:rPr>
            </w:pPr>
          </w:p>
        </w:tc>
        <w:tc>
          <w:tcPr>
            <w:tcW w:w="782" w:type="dxa"/>
          </w:tcPr>
          <w:p w14:paraId="7DE8CF7A" w14:textId="77777777" w:rsidR="007D3D49" w:rsidRPr="00635DF7" w:rsidRDefault="007D3D49" w:rsidP="006C5EBE">
            <w:pPr>
              <w:jc w:val="center"/>
              <w:rPr>
                <w:rFonts w:ascii="Times New Roman" w:hAnsi="Times New Roman" w:cs="Times New Roman"/>
              </w:rPr>
            </w:pPr>
          </w:p>
        </w:tc>
        <w:tc>
          <w:tcPr>
            <w:tcW w:w="834" w:type="dxa"/>
          </w:tcPr>
          <w:p w14:paraId="676C6FD5" w14:textId="77777777" w:rsidR="007D3D49" w:rsidRPr="00635DF7" w:rsidRDefault="007D3D49" w:rsidP="006C5EBE">
            <w:pPr>
              <w:jc w:val="center"/>
              <w:rPr>
                <w:rFonts w:ascii="Times New Roman" w:hAnsi="Times New Roman" w:cs="Times New Roman"/>
              </w:rPr>
            </w:pPr>
          </w:p>
        </w:tc>
        <w:tc>
          <w:tcPr>
            <w:tcW w:w="883" w:type="dxa"/>
          </w:tcPr>
          <w:p w14:paraId="460B299A" w14:textId="77777777" w:rsidR="007D3D49" w:rsidRPr="00635DF7" w:rsidRDefault="007D3D49" w:rsidP="006C5EBE">
            <w:pPr>
              <w:jc w:val="center"/>
              <w:rPr>
                <w:rFonts w:ascii="Times New Roman" w:hAnsi="Times New Roman" w:cs="Times New Roman"/>
              </w:rPr>
            </w:pPr>
          </w:p>
        </w:tc>
      </w:tr>
      <w:tr w:rsidR="007D3D49" w:rsidRPr="00635DF7" w14:paraId="575C4E23" w14:textId="77777777" w:rsidTr="006C5EBE">
        <w:tc>
          <w:tcPr>
            <w:tcW w:w="2790" w:type="dxa"/>
            <w:hideMark/>
          </w:tcPr>
          <w:p w14:paraId="1F03DF7B" w14:textId="77777777" w:rsidR="007D3D49" w:rsidRPr="00635DF7" w:rsidRDefault="007D3D49" w:rsidP="006C5EBE">
            <w:pPr>
              <w:ind w:left="337"/>
              <w:rPr>
                <w:rFonts w:ascii="Times New Roman" w:hAnsi="Times New Roman" w:cs="Times New Roman"/>
              </w:rPr>
            </w:pPr>
            <w:r w:rsidRPr="00635DF7">
              <w:rPr>
                <w:rFonts w:ascii="Times New Roman" w:hAnsi="Times New Roman" w:cs="Times New Roman"/>
              </w:rPr>
              <w:t>≤ $4,999</w:t>
            </w:r>
          </w:p>
        </w:tc>
        <w:tc>
          <w:tcPr>
            <w:tcW w:w="640" w:type="dxa"/>
            <w:hideMark/>
          </w:tcPr>
          <w:p w14:paraId="72A123BC"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29</w:t>
            </w:r>
          </w:p>
        </w:tc>
        <w:tc>
          <w:tcPr>
            <w:tcW w:w="796" w:type="dxa"/>
            <w:tcBorders>
              <w:top w:val="nil"/>
              <w:left w:val="nil"/>
              <w:bottom w:val="nil"/>
              <w:right w:val="single" w:sz="4" w:space="0" w:color="auto"/>
            </w:tcBorders>
            <w:hideMark/>
          </w:tcPr>
          <w:p w14:paraId="2AE4CA06"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(28)</w:t>
            </w:r>
          </w:p>
        </w:tc>
        <w:tc>
          <w:tcPr>
            <w:tcW w:w="788" w:type="dxa"/>
            <w:tcBorders>
              <w:top w:val="nil"/>
              <w:left w:val="single" w:sz="4" w:space="0" w:color="auto"/>
              <w:bottom w:val="nil"/>
              <w:right w:val="nil"/>
            </w:tcBorders>
            <w:hideMark/>
          </w:tcPr>
          <w:p w14:paraId="26272338"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20</w:t>
            </w:r>
          </w:p>
        </w:tc>
        <w:tc>
          <w:tcPr>
            <w:tcW w:w="873" w:type="dxa"/>
            <w:hideMark/>
          </w:tcPr>
          <w:p w14:paraId="467EE96B"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(35)</w:t>
            </w:r>
          </w:p>
        </w:tc>
        <w:tc>
          <w:tcPr>
            <w:tcW w:w="782" w:type="dxa"/>
            <w:hideMark/>
          </w:tcPr>
          <w:p w14:paraId="0DCD920E"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9</w:t>
            </w:r>
          </w:p>
        </w:tc>
        <w:tc>
          <w:tcPr>
            <w:tcW w:w="834" w:type="dxa"/>
            <w:hideMark/>
          </w:tcPr>
          <w:p w14:paraId="2268D0F2"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(20)</w:t>
            </w:r>
          </w:p>
        </w:tc>
        <w:tc>
          <w:tcPr>
            <w:tcW w:w="883" w:type="dxa"/>
            <w:hideMark/>
          </w:tcPr>
          <w:p w14:paraId="2A248DAF"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.09</w:t>
            </w:r>
          </w:p>
        </w:tc>
      </w:tr>
      <w:tr w:rsidR="007D3D49" w:rsidRPr="00635DF7" w14:paraId="0E5ED351" w14:textId="77777777" w:rsidTr="006C5EBE">
        <w:tc>
          <w:tcPr>
            <w:tcW w:w="2790" w:type="dxa"/>
            <w:hideMark/>
          </w:tcPr>
          <w:p w14:paraId="0B2E6D35" w14:textId="77777777" w:rsidR="007D3D49" w:rsidRPr="00635DF7" w:rsidRDefault="007D3D49" w:rsidP="006C5EBE">
            <w:pPr>
              <w:ind w:left="337"/>
              <w:rPr>
                <w:rFonts w:ascii="Times New Roman" w:hAnsi="Times New Roman" w:cs="Times New Roman"/>
              </w:rPr>
            </w:pPr>
            <w:r w:rsidRPr="00635DF7">
              <w:rPr>
                <w:rFonts w:ascii="Times New Roman" w:hAnsi="Times New Roman" w:cs="Times New Roman"/>
              </w:rPr>
              <w:t xml:space="preserve">$5,000–14,999 </w:t>
            </w:r>
          </w:p>
        </w:tc>
        <w:tc>
          <w:tcPr>
            <w:tcW w:w="640" w:type="dxa"/>
            <w:hideMark/>
          </w:tcPr>
          <w:p w14:paraId="0F205197"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21</w:t>
            </w:r>
          </w:p>
        </w:tc>
        <w:tc>
          <w:tcPr>
            <w:tcW w:w="796" w:type="dxa"/>
            <w:tcBorders>
              <w:top w:val="nil"/>
              <w:left w:val="nil"/>
              <w:bottom w:val="nil"/>
              <w:right w:val="single" w:sz="4" w:space="0" w:color="auto"/>
            </w:tcBorders>
            <w:hideMark/>
          </w:tcPr>
          <w:p w14:paraId="65E6BE55"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(21)</w:t>
            </w:r>
          </w:p>
        </w:tc>
        <w:tc>
          <w:tcPr>
            <w:tcW w:w="788" w:type="dxa"/>
            <w:tcBorders>
              <w:top w:val="nil"/>
              <w:left w:val="single" w:sz="4" w:space="0" w:color="auto"/>
              <w:bottom w:val="nil"/>
              <w:right w:val="nil"/>
            </w:tcBorders>
            <w:hideMark/>
          </w:tcPr>
          <w:p w14:paraId="6020B0B9"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16</w:t>
            </w:r>
          </w:p>
        </w:tc>
        <w:tc>
          <w:tcPr>
            <w:tcW w:w="873" w:type="dxa"/>
            <w:hideMark/>
          </w:tcPr>
          <w:p w14:paraId="61288DFC"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(28)</w:t>
            </w:r>
          </w:p>
        </w:tc>
        <w:tc>
          <w:tcPr>
            <w:tcW w:w="782" w:type="dxa"/>
            <w:hideMark/>
          </w:tcPr>
          <w:p w14:paraId="6BDBE226"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5</w:t>
            </w:r>
          </w:p>
        </w:tc>
        <w:tc>
          <w:tcPr>
            <w:tcW w:w="834" w:type="dxa"/>
            <w:hideMark/>
          </w:tcPr>
          <w:p w14:paraId="6D7FB155"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(11)</w:t>
            </w:r>
          </w:p>
        </w:tc>
        <w:tc>
          <w:tcPr>
            <w:tcW w:w="883" w:type="dxa"/>
            <w:hideMark/>
          </w:tcPr>
          <w:p w14:paraId="56C2E883" w14:textId="77777777" w:rsidR="007D3D49" w:rsidRPr="00635DF7" w:rsidRDefault="007D3D49" w:rsidP="006C5EBE">
            <w:pPr>
              <w:jc w:val="center"/>
              <w:rPr>
                <w:rFonts w:ascii="Times New Roman" w:hAnsi="Times New Roman" w:cs="Times New Roman"/>
                <w:b/>
              </w:rPr>
            </w:pPr>
            <w:r w:rsidRPr="00635DF7">
              <w:rPr>
                <w:rFonts w:ascii="Times New Roman" w:hAnsi="Times New Roman" w:cs="Times New Roman"/>
                <w:b/>
              </w:rPr>
              <w:t>.04</w:t>
            </w:r>
          </w:p>
        </w:tc>
      </w:tr>
      <w:tr w:rsidR="007D3D49" w:rsidRPr="00635DF7" w14:paraId="138B7079" w14:textId="77777777" w:rsidTr="006C5EBE">
        <w:tc>
          <w:tcPr>
            <w:tcW w:w="2790" w:type="dxa"/>
            <w:hideMark/>
          </w:tcPr>
          <w:p w14:paraId="66DD8937" w14:textId="77777777" w:rsidR="007D3D49" w:rsidRPr="00635DF7" w:rsidRDefault="007D3D49" w:rsidP="006C5EBE">
            <w:pPr>
              <w:ind w:left="337"/>
              <w:rPr>
                <w:rFonts w:ascii="Times New Roman" w:hAnsi="Times New Roman" w:cs="Times New Roman"/>
              </w:rPr>
            </w:pPr>
            <w:r w:rsidRPr="00635DF7">
              <w:rPr>
                <w:rFonts w:ascii="Times New Roman" w:hAnsi="Times New Roman" w:cs="Times New Roman"/>
              </w:rPr>
              <w:t>$15,000–19,999</w:t>
            </w:r>
          </w:p>
        </w:tc>
        <w:tc>
          <w:tcPr>
            <w:tcW w:w="640" w:type="dxa"/>
            <w:hideMark/>
          </w:tcPr>
          <w:p w14:paraId="5BE5E50F"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10</w:t>
            </w:r>
          </w:p>
        </w:tc>
        <w:tc>
          <w:tcPr>
            <w:tcW w:w="796" w:type="dxa"/>
            <w:tcBorders>
              <w:top w:val="nil"/>
              <w:left w:val="nil"/>
              <w:bottom w:val="nil"/>
              <w:right w:val="single" w:sz="4" w:space="0" w:color="auto"/>
            </w:tcBorders>
            <w:hideMark/>
          </w:tcPr>
          <w:p w14:paraId="1D9167BD"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(10)</w:t>
            </w:r>
          </w:p>
        </w:tc>
        <w:tc>
          <w:tcPr>
            <w:tcW w:w="788" w:type="dxa"/>
            <w:tcBorders>
              <w:top w:val="nil"/>
              <w:left w:val="single" w:sz="4" w:space="0" w:color="auto"/>
              <w:bottom w:val="nil"/>
              <w:right w:val="nil"/>
            </w:tcBorders>
            <w:hideMark/>
          </w:tcPr>
          <w:p w14:paraId="6E4577BA"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6</w:t>
            </w:r>
          </w:p>
        </w:tc>
        <w:tc>
          <w:tcPr>
            <w:tcW w:w="873" w:type="dxa"/>
            <w:hideMark/>
          </w:tcPr>
          <w:p w14:paraId="7A0F1201"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(11)</w:t>
            </w:r>
          </w:p>
        </w:tc>
        <w:tc>
          <w:tcPr>
            <w:tcW w:w="782" w:type="dxa"/>
            <w:hideMark/>
          </w:tcPr>
          <w:p w14:paraId="2F329EE2"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4</w:t>
            </w:r>
          </w:p>
        </w:tc>
        <w:tc>
          <w:tcPr>
            <w:tcW w:w="834" w:type="dxa"/>
            <w:hideMark/>
          </w:tcPr>
          <w:p w14:paraId="44061AF2"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(9)</w:t>
            </w:r>
          </w:p>
        </w:tc>
        <w:tc>
          <w:tcPr>
            <w:tcW w:w="883" w:type="dxa"/>
            <w:hideMark/>
          </w:tcPr>
          <w:p w14:paraId="39447D65"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.78</w:t>
            </w:r>
          </w:p>
        </w:tc>
      </w:tr>
      <w:tr w:rsidR="007D3D49" w:rsidRPr="00635DF7" w14:paraId="3BAA457E" w14:textId="77777777" w:rsidTr="006C5EBE">
        <w:tc>
          <w:tcPr>
            <w:tcW w:w="2790" w:type="dxa"/>
            <w:hideMark/>
          </w:tcPr>
          <w:p w14:paraId="67669132" w14:textId="77777777" w:rsidR="007D3D49" w:rsidRPr="00635DF7" w:rsidRDefault="007D3D49" w:rsidP="006C5EBE">
            <w:pPr>
              <w:ind w:left="337"/>
              <w:rPr>
                <w:rFonts w:ascii="Times New Roman" w:hAnsi="Times New Roman" w:cs="Times New Roman"/>
              </w:rPr>
            </w:pPr>
            <w:r w:rsidRPr="00635DF7">
              <w:rPr>
                <w:rFonts w:ascii="Times New Roman" w:hAnsi="Times New Roman" w:cs="Times New Roman"/>
              </w:rPr>
              <w:t>$20,000–29,999</w:t>
            </w:r>
          </w:p>
        </w:tc>
        <w:tc>
          <w:tcPr>
            <w:tcW w:w="640" w:type="dxa"/>
            <w:hideMark/>
          </w:tcPr>
          <w:p w14:paraId="64DD10B1"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11</w:t>
            </w:r>
          </w:p>
        </w:tc>
        <w:tc>
          <w:tcPr>
            <w:tcW w:w="796" w:type="dxa"/>
            <w:tcBorders>
              <w:top w:val="nil"/>
              <w:left w:val="nil"/>
              <w:bottom w:val="nil"/>
              <w:right w:val="single" w:sz="4" w:space="0" w:color="auto"/>
            </w:tcBorders>
            <w:hideMark/>
          </w:tcPr>
          <w:p w14:paraId="0FD634DD"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(11)</w:t>
            </w:r>
          </w:p>
        </w:tc>
        <w:tc>
          <w:tcPr>
            <w:tcW w:w="788" w:type="dxa"/>
            <w:tcBorders>
              <w:top w:val="nil"/>
              <w:left w:val="single" w:sz="4" w:space="0" w:color="auto"/>
              <w:bottom w:val="nil"/>
              <w:right w:val="nil"/>
            </w:tcBorders>
            <w:hideMark/>
          </w:tcPr>
          <w:p w14:paraId="27B6BE9B"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6</w:t>
            </w:r>
          </w:p>
        </w:tc>
        <w:tc>
          <w:tcPr>
            <w:tcW w:w="873" w:type="dxa"/>
            <w:hideMark/>
          </w:tcPr>
          <w:p w14:paraId="28BAFC41"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(11)</w:t>
            </w:r>
          </w:p>
        </w:tc>
        <w:tc>
          <w:tcPr>
            <w:tcW w:w="782" w:type="dxa"/>
            <w:hideMark/>
          </w:tcPr>
          <w:p w14:paraId="286C0914"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5</w:t>
            </w:r>
          </w:p>
        </w:tc>
        <w:tc>
          <w:tcPr>
            <w:tcW w:w="834" w:type="dxa"/>
            <w:hideMark/>
          </w:tcPr>
          <w:p w14:paraId="53A51856"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(11)</w:t>
            </w:r>
          </w:p>
        </w:tc>
        <w:tc>
          <w:tcPr>
            <w:tcW w:w="883" w:type="dxa"/>
            <w:hideMark/>
          </w:tcPr>
          <w:p w14:paraId="7FA36D6F"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.92</w:t>
            </w:r>
          </w:p>
        </w:tc>
      </w:tr>
      <w:tr w:rsidR="007D3D49" w:rsidRPr="00635DF7" w14:paraId="24609C9B" w14:textId="77777777" w:rsidTr="006C5EBE">
        <w:tc>
          <w:tcPr>
            <w:tcW w:w="2790" w:type="dxa"/>
            <w:hideMark/>
          </w:tcPr>
          <w:p w14:paraId="0E38CA85" w14:textId="77777777" w:rsidR="007D3D49" w:rsidRPr="00635DF7" w:rsidRDefault="007D3D49" w:rsidP="006C5EBE">
            <w:pPr>
              <w:ind w:left="337"/>
              <w:rPr>
                <w:rFonts w:ascii="Times New Roman" w:hAnsi="Times New Roman" w:cs="Times New Roman"/>
              </w:rPr>
            </w:pPr>
            <w:r w:rsidRPr="00635DF7">
              <w:rPr>
                <w:rFonts w:ascii="Times New Roman" w:hAnsi="Times New Roman" w:cs="Times New Roman"/>
              </w:rPr>
              <w:t>$30,000–39,999</w:t>
            </w:r>
          </w:p>
        </w:tc>
        <w:tc>
          <w:tcPr>
            <w:tcW w:w="640" w:type="dxa"/>
            <w:hideMark/>
          </w:tcPr>
          <w:p w14:paraId="33BDF854"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7</w:t>
            </w:r>
          </w:p>
        </w:tc>
        <w:tc>
          <w:tcPr>
            <w:tcW w:w="796" w:type="dxa"/>
            <w:tcBorders>
              <w:top w:val="nil"/>
              <w:left w:val="nil"/>
              <w:bottom w:val="nil"/>
              <w:right w:val="single" w:sz="4" w:space="0" w:color="auto"/>
            </w:tcBorders>
            <w:hideMark/>
          </w:tcPr>
          <w:p w14:paraId="19EC8835"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(7)</w:t>
            </w:r>
          </w:p>
        </w:tc>
        <w:tc>
          <w:tcPr>
            <w:tcW w:w="788" w:type="dxa"/>
            <w:tcBorders>
              <w:top w:val="nil"/>
              <w:left w:val="single" w:sz="4" w:space="0" w:color="auto"/>
              <w:bottom w:val="nil"/>
              <w:right w:val="nil"/>
            </w:tcBorders>
            <w:hideMark/>
          </w:tcPr>
          <w:p w14:paraId="22321CFE"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2</w:t>
            </w:r>
          </w:p>
        </w:tc>
        <w:tc>
          <w:tcPr>
            <w:tcW w:w="873" w:type="dxa"/>
            <w:hideMark/>
          </w:tcPr>
          <w:p w14:paraId="778EF78A"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(4)</w:t>
            </w:r>
          </w:p>
        </w:tc>
        <w:tc>
          <w:tcPr>
            <w:tcW w:w="782" w:type="dxa"/>
            <w:hideMark/>
          </w:tcPr>
          <w:p w14:paraId="42BB5CF9"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5</w:t>
            </w:r>
          </w:p>
        </w:tc>
        <w:tc>
          <w:tcPr>
            <w:tcW w:w="834" w:type="dxa"/>
            <w:hideMark/>
          </w:tcPr>
          <w:p w14:paraId="28EA8F68"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(11)</w:t>
            </w:r>
          </w:p>
        </w:tc>
        <w:tc>
          <w:tcPr>
            <w:tcW w:w="883" w:type="dxa"/>
            <w:hideMark/>
          </w:tcPr>
          <w:p w14:paraId="498C3F2E"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.13</w:t>
            </w:r>
          </w:p>
        </w:tc>
      </w:tr>
      <w:tr w:rsidR="007D3D49" w:rsidRPr="00635DF7" w14:paraId="18FE0E85" w14:textId="77777777" w:rsidTr="006C5EBE">
        <w:tc>
          <w:tcPr>
            <w:tcW w:w="2790" w:type="dxa"/>
            <w:hideMark/>
          </w:tcPr>
          <w:p w14:paraId="2964B86F" w14:textId="77777777" w:rsidR="007D3D49" w:rsidRPr="00635DF7" w:rsidRDefault="007D3D49" w:rsidP="006C5EBE">
            <w:pPr>
              <w:ind w:left="337"/>
              <w:rPr>
                <w:rFonts w:ascii="Times New Roman" w:hAnsi="Times New Roman" w:cs="Times New Roman"/>
              </w:rPr>
            </w:pPr>
            <w:r w:rsidRPr="00635DF7">
              <w:rPr>
                <w:rFonts w:ascii="Times New Roman" w:hAnsi="Times New Roman" w:cs="Times New Roman"/>
              </w:rPr>
              <w:t xml:space="preserve"> </w:t>
            </w:r>
            <w:r w:rsidRPr="00635DF7">
              <w:rPr>
                <w:rFonts w:ascii="Times New Roman" w:hAnsi="Times New Roman" w:cs="Times New Roman"/>
                <w:u w:val="single"/>
              </w:rPr>
              <w:t>&gt;</w:t>
            </w:r>
            <w:r w:rsidRPr="00635DF7">
              <w:rPr>
                <w:rFonts w:ascii="Times New Roman" w:hAnsi="Times New Roman" w:cs="Times New Roman"/>
              </w:rPr>
              <w:t xml:space="preserve"> $40,000</w:t>
            </w:r>
          </w:p>
        </w:tc>
        <w:tc>
          <w:tcPr>
            <w:tcW w:w="640" w:type="dxa"/>
            <w:hideMark/>
          </w:tcPr>
          <w:p w14:paraId="180430CD"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24</w:t>
            </w:r>
          </w:p>
        </w:tc>
        <w:tc>
          <w:tcPr>
            <w:tcW w:w="796" w:type="dxa"/>
            <w:tcBorders>
              <w:top w:val="nil"/>
              <w:left w:val="nil"/>
              <w:bottom w:val="nil"/>
              <w:right w:val="single" w:sz="4" w:space="0" w:color="auto"/>
            </w:tcBorders>
            <w:hideMark/>
          </w:tcPr>
          <w:p w14:paraId="73D0DDF8"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(24)</w:t>
            </w:r>
          </w:p>
        </w:tc>
        <w:tc>
          <w:tcPr>
            <w:tcW w:w="788" w:type="dxa"/>
            <w:tcBorders>
              <w:top w:val="nil"/>
              <w:left w:val="single" w:sz="4" w:space="0" w:color="auto"/>
              <w:bottom w:val="nil"/>
              <w:right w:val="nil"/>
            </w:tcBorders>
            <w:hideMark/>
          </w:tcPr>
          <w:p w14:paraId="2EE06775"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7</w:t>
            </w:r>
          </w:p>
        </w:tc>
        <w:tc>
          <w:tcPr>
            <w:tcW w:w="873" w:type="dxa"/>
            <w:hideMark/>
          </w:tcPr>
          <w:p w14:paraId="71EDD0C9"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(12)</w:t>
            </w:r>
          </w:p>
        </w:tc>
        <w:tc>
          <w:tcPr>
            <w:tcW w:w="782" w:type="dxa"/>
            <w:hideMark/>
          </w:tcPr>
          <w:p w14:paraId="4B6FB4B1"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17</w:t>
            </w:r>
          </w:p>
        </w:tc>
        <w:tc>
          <w:tcPr>
            <w:tcW w:w="834" w:type="dxa"/>
            <w:hideMark/>
          </w:tcPr>
          <w:p w14:paraId="1773C5F1"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(38)</w:t>
            </w:r>
          </w:p>
        </w:tc>
        <w:tc>
          <w:tcPr>
            <w:tcW w:w="883" w:type="dxa"/>
            <w:hideMark/>
          </w:tcPr>
          <w:p w14:paraId="4F7D67A5" w14:textId="77777777" w:rsidR="007D3D49" w:rsidRPr="00635DF7" w:rsidRDefault="007D3D49" w:rsidP="006C5EBE">
            <w:pPr>
              <w:jc w:val="center"/>
              <w:rPr>
                <w:rFonts w:ascii="Times New Roman" w:hAnsi="Times New Roman" w:cs="Times New Roman"/>
                <w:b/>
              </w:rPr>
            </w:pPr>
            <w:r w:rsidRPr="00635DF7">
              <w:rPr>
                <w:rFonts w:ascii="Times New Roman" w:hAnsi="Times New Roman" w:cs="Times New Roman"/>
                <w:b/>
              </w:rPr>
              <w:t>.003</w:t>
            </w:r>
          </w:p>
        </w:tc>
      </w:tr>
      <w:tr w:rsidR="007D3D49" w:rsidRPr="00635DF7" w14:paraId="3D1CBDFB" w14:textId="77777777" w:rsidTr="006C5EBE">
        <w:tc>
          <w:tcPr>
            <w:tcW w:w="2790" w:type="dxa"/>
            <w:tcBorders>
              <w:top w:val="nil"/>
              <w:left w:val="nil"/>
              <w:bottom w:val="single" w:sz="4" w:space="0" w:color="auto"/>
              <w:right w:val="nil"/>
            </w:tcBorders>
            <w:hideMark/>
          </w:tcPr>
          <w:p w14:paraId="657FB52B" w14:textId="77777777" w:rsidR="007D3D49" w:rsidRPr="00635DF7" w:rsidRDefault="007D3D49" w:rsidP="006C5EBE">
            <w:pPr>
              <w:rPr>
                <w:rFonts w:ascii="Times New Roman" w:hAnsi="Times New Roman" w:cs="Times New Roman"/>
              </w:rPr>
            </w:pPr>
            <w:r w:rsidRPr="00635DF7">
              <w:rPr>
                <w:rFonts w:ascii="Times New Roman" w:hAnsi="Times New Roman" w:cs="Times New Roman"/>
              </w:rPr>
              <w:t>Receiving Aid</w:t>
            </w:r>
          </w:p>
        </w:tc>
        <w:tc>
          <w:tcPr>
            <w:tcW w:w="640" w:type="dxa"/>
            <w:tcBorders>
              <w:top w:val="nil"/>
              <w:left w:val="nil"/>
              <w:bottom w:val="single" w:sz="4" w:space="0" w:color="auto"/>
              <w:right w:val="nil"/>
            </w:tcBorders>
            <w:hideMark/>
          </w:tcPr>
          <w:p w14:paraId="6F561CF1"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87</w:t>
            </w:r>
          </w:p>
        </w:tc>
        <w:tc>
          <w:tcPr>
            <w:tcW w:w="796" w:type="dxa"/>
            <w:tcBorders>
              <w:top w:val="nil"/>
              <w:left w:val="nil"/>
              <w:bottom w:val="single" w:sz="4" w:space="0" w:color="auto"/>
              <w:right w:val="single" w:sz="4" w:space="0" w:color="auto"/>
            </w:tcBorders>
            <w:hideMark/>
          </w:tcPr>
          <w:p w14:paraId="55A14016"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(79)</w:t>
            </w:r>
          </w:p>
        </w:tc>
        <w:tc>
          <w:tcPr>
            <w:tcW w:w="788" w:type="dxa"/>
            <w:tcBorders>
              <w:top w:val="nil"/>
              <w:left w:val="single" w:sz="4" w:space="0" w:color="auto"/>
              <w:bottom w:val="single" w:sz="4" w:space="0" w:color="auto"/>
              <w:right w:val="nil"/>
            </w:tcBorders>
            <w:hideMark/>
          </w:tcPr>
          <w:p w14:paraId="2624739F"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57</w:t>
            </w:r>
          </w:p>
        </w:tc>
        <w:tc>
          <w:tcPr>
            <w:tcW w:w="873" w:type="dxa"/>
            <w:tcBorders>
              <w:top w:val="nil"/>
              <w:left w:val="nil"/>
              <w:bottom w:val="single" w:sz="4" w:space="0" w:color="auto"/>
              <w:right w:val="nil"/>
            </w:tcBorders>
            <w:hideMark/>
          </w:tcPr>
          <w:p w14:paraId="5F745641"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(90)</w:t>
            </w:r>
          </w:p>
        </w:tc>
        <w:tc>
          <w:tcPr>
            <w:tcW w:w="782" w:type="dxa"/>
            <w:tcBorders>
              <w:top w:val="nil"/>
              <w:left w:val="nil"/>
              <w:bottom w:val="single" w:sz="4" w:space="0" w:color="auto"/>
              <w:right w:val="nil"/>
            </w:tcBorders>
            <w:hideMark/>
          </w:tcPr>
          <w:p w14:paraId="0D1DDDFF"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30</w:t>
            </w:r>
          </w:p>
        </w:tc>
        <w:tc>
          <w:tcPr>
            <w:tcW w:w="834" w:type="dxa"/>
            <w:tcBorders>
              <w:top w:val="nil"/>
              <w:left w:val="nil"/>
              <w:bottom w:val="single" w:sz="4" w:space="0" w:color="auto"/>
              <w:right w:val="nil"/>
            </w:tcBorders>
            <w:hideMark/>
          </w:tcPr>
          <w:p w14:paraId="4DDA4612"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(64)</w:t>
            </w:r>
          </w:p>
        </w:tc>
        <w:tc>
          <w:tcPr>
            <w:tcW w:w="883" w:type="dxa"/>
            <w:tcBorders>
              <w:top w:val="nil"/>
              <w:left w:val="nil"/>
              <w:bottom w:val="single" w:sz="4" w:space="0" w:color="auto"/>
              <w:right w:val="nil"/>
            </w:tcBorders>
            <w:hideMark/>
          </w:tcPr>
          <w:p w14:paraId="49BEF07D" w14:textId="77777777" w:rsidR="007D3D49" w:rsidRPr="00635DF7" w:rsidRDefault="007D3D49" w:rsidP="006C5EBE">
            <w:pPr>
              <w:jc w:val="center"/>
              <w:rPr>
                <w:rFonts w:ascii="Times New Roman" w:hAnsi="Times New Roman" w:cs="Times New Roman"/>
                <w:b/>
              </w:rPr>
            </w:pPr>
            <w:r w:rsidRPr="00635DF7">
              <w:rPr>
                <w:rFonts w:ascii="Times New Roman" w:hAnsi="Times New Roman" w:cs="Times New Roman"/>
                <w:b/>
              </w:rPr>
              <w:t>&lt; .001</w:t>
            </w:r>
          </w:p>
        </w:tc>
      </w:tr>
      <w:tr w:rsidR="007D3D49" w:rsidRPr="00635DF7" w14:paraId="2DC02AD0" w14:textId="77777777" w:rsidTr="006C5EBE">
        <w:tc>
          <w:tcPr>
            <w:tcW w:w="2790" w:type="dxa"/>
            <w:tcBorders>
              <w:top w:val="single" w:sz="4" w:space="0" w:color="auto"/>
              <w:left w:val="nil"/>
              <w:bottom w:val="single" w:sz="4" w:space="0" w:color="auto"/>
              <w:right w:val="nil"/>
            </w:tcBorders>
          </w:tcPr>
          <w:p w14:paraId="12B12678" w14:textId="77777777" w:rsidR="007D3D49" w:rsidRPr="00635DF7" w:rsidRDefault="007D3D49" w:rsidP="006C5EBE">
            <w:pPr>
              <w:rPr>
                <w:rFonts w:ascii="Times New Roman" w:hAnsi="Times New Roman" w:cs="Times New Roman"/>
                <w:i/>
              </w:rPr>
            </w:pPr>
          </w:p>
        </w:tc>
        <w:tc>
          <w:tcPr>
            <w:tcW w:w="640" w:type="dxa"/>
            <w:tcBorders>
              <w:top w:val="single" w:sz="4" w:space="0" w:color="auto"/>
              <w:left w:val="nil"/>
              <w:bottom w:val="single" w:sz="4" w:space="0" w:color="auto"/>
              <w:right w:val="nil"/>
            </w:tcBorders>
            <w:hideMark/>
          </w:tcPr>
          <w:p w14:paraId="311D8CBB" w14:textId="77777777" w:rsidR="007D3D49" w:rsidRPr="00635DF7" w:rsidRDefault="007D3D49" w:rsidP="006C5EBE">
            <w:pPr>
              <w:jc w:val="center"/>
              <w:rPr>
                <w:rFonts w:ascii="Times New Roman" w:hAnsi="Times New Roman" w:cs="Times New Roman"/>
                <w:b/>
              </w:rPr>
            </w:pPr>
            <w:r w:rsidRPr="00635DF7">
              <w:rPr>
                <w:rFonts w:ascii="Times New Roman" w:hAnsi="Times New Roman" w:cs="Times New Roman"/>
                <w:b/>
              </w:rPr>
              <w:t>M</w:t>
            </w:r>
          </w:p>
        </w:tc>
        <w:tc>
          <w:tcPr>
            <w:tcW w:w="796" w:type="dxa"/>
            <w:tcBorders>
              <w:top w:val="single" w:sz="4" w:space="0" w:color="auto"/>
              <w:left w:val="nil"/>
              <w:bottom w:val="single" w:sz="4" w:space="0" w:color="auto"/>
              <w:right w:val="single" w:sz="4" w:space="0" w:color="auto"/>
            </w:tcBorders>
            <w:hideMark/>
          </w:tcPr>
          <w:p w14:paraId="55ACB22E" w14:textId="77777777" w:rsidR="007D3D49" w:rsidRPr="00635DF7" w:rsidRDefault="007D3D49" w:rsidP="006C5EBE">
            <w:pPr>
              <w:jc w:val="center"/>
              <w:rPr>
                <w:rFonts w:ascii="Times New Roman" w:hAnsi="Times New Roman" w:cs="Times New Roman"/>
                <w:b/>
              </w:rPr>
            </w:pPr>
            <w:r w:rsidRPr="00635DF7">
              <w:rPr>
                <w:rFonts w:ascii="Times New Roman" w:hAnsi="Times New Roman" w:cs="Times New Roman"/>
                <w:b/>
              </w:rPr>
              <w:t>(SD)</w:t>
            </w:r>
          </w:p>
        </w:tc>
        <w:tc>
          <w:tcPr>
            <w:tcW w:w="788" w:type="dxa"/>
            <w:tcBorders>
              <w:top w:val="single" w:sz="4" w:space="0" w:color="auto"/>
              <w:left w:val="single" w:sz="4" w:space="0" w:color="auto"/>
              <w:bottom w:val="single" w:sz="4" w:space="0" w:color="auto"/>
              <w:right w:val="nil"/>
            </w:tcBorders>
            <w:hideMark/>
          </w:tcPr>
          <w:p w14:paraId="5D3C7D27" w14:textId="77777777" w:rsidR="007D3D49" w:rsidRPr="00635DF7" w:rsidRDefault="007D3D49" w:rsidP="006C5EBE">
            <w:pPr>
              <w:jc w:val="center"/>
              <w:rPr>
                <w:rFonts w:ascii="Times New Roman" w:hAnsi="Times New Roman" w:cs="Times New Roman"/>
                <w:b/>
              </w:rPr>
            </w:pPr>
            <w:r w:rsidRPr="00635DF7">
              <w:rPr>
                <w:rFonts w:ascii="Times New Roman" w:hAnsi="Times New Roman" w:cs="Times New Roman"/>
                <w:b/>
              </w:rPr>
              <w:t>M</w:t>
            </w:r>
          </w:p>
        </w:tc>
        <w:tc>
          <w:tcPr>
            <w:tcW w:w="873" w:type="dxa"/>
            <w:tcBorders>
              <w:top w:val="single" w:sz="4" w:space="0" w:color="auto"/>
              <w:left w:val="nil"/>
              <w:bottom w:val="single" w:sz="4" w:space="0" w:color="auto"/>
              <w:right w:val="nil"/>
            </w:tcBorders>
            <w:hideMark/>
          </w:tcPr>
          <w:p w14:paraId="749A3754" w14:textId="77777777" w:rsidR="007D3D49" w:rsidRPr="00635DF7" w:rsidRDefault="007D3D49" w:rsidP="006C5EBE">
            <w:pPr>
              <w:jc w:val="center"/>
              <w:rPr>
                <w:rFonts w:ascii="Times New Roman" w:hAnsi="Times New Roman" w:cs="Times New Roman"/>
                <w:b/>
              </w:rPr>
            </w:pPr>
            <w:r w:rsidRPr="00635DF7">
              <w:rPr>
                <w:rFonts w:ascii="Times New Roman" w:hAnsi="Times New Roman" w:cs="Times New Roman"/>
                <w:b/>
              </w:rPr>
              <w:t>(SD)</w:t>
            </w:r>
          </w:p>
        </w:tc>
        <w:tc>
          <w:tcPr>
            <w:tcW w:w="782" w:type="dxa"/>
            <w:tcBorders>
              <w:top w:val="single" w:sz="4" w:space="0" w:color="auto"/>
              <w:left w:val="nil"/>
              <w:bottom w:val="single" w:sz="4" w:space="0" w:color="auto"/>
              <w:right w:val="nil"/>
            </w:tcBorders>
            <w:hideMark/>
          </w:tcPr>
          <w:p w14:paraId="5B497C83" w14:textId="77777777" w:rsidR="007D3D49" w:rsidRPr="00635DF7" w:rsidRDefault="007D3D49" w:rsidP="006C5EBE">
            <w:pPr>
              <w:jc w:val="center"/>
              <w:rPr>
                <w:rFonts w:ascii="Times New Roman" w:hAnsi="Times New Roman" w:cs="Times New Roman"/>
                <w:b/>
              </w:rPr>
            </w:pPr>
            <w:r w:rsidRPr="00635DF7">
              <w:rPr>
                <w:rFonts w:ascii="Times New Roman" w:hAnsi="Times New Roman" w:cs="Times New Roman"/>
                <w:b/>
              </w:rPr>
              <w:t>M</w:t>
            </w:r>
          </w:p>
        </w:tc>
        <w:tc>
          <w:tcPr>
            <w:tcW w:w="834" w:type="dxa"/>
            <w:tcBorders>
              <w:top w:val="single" w:sz="4" w:space="0" w:color="auto"/>
              <w:left w:val="nil"/>
              <w:bottom w:val="single" w:sz="4" w:space="0" w:color="auto"/>
              <w:right w:val="nil"/>
            </w:tcBorders>
            <w:hideMark/>
          </w:tcPr>
          <w:p w14:paraId="2D3A961E" w14:textId="77777777" w:rsidR="007D3D49" w:rsidRPr="00635DF7" w:rsidRDefault="007D3D49" w:rsidP="006C5EBE">
            <w:pPr>
              <w:jc w:val="center"/>
              <w:rPr>
                <w:rFonts w:ascii="Times New Roman" w:hAnsi="Times New Roman" w:cs="Times New Roman"/>
                <w:b/>
              </w:rPr>
            </w:pPr>
            <w:r w:rsidRPr="00635DF7">
              <w:rPr>
                <w:rFonts w:ascii="Times New Roman" w:hAnsi="Times New Roman" w:cs="Times New Roman"/>
                <w:b/>
              </w:rPr>
              <w:t>(SD)</w:t>
            </w:r>
          </w:p>
        </w:tc>
        <w:tc>
          <w:tcPr>
            <w:tcW w:w="883" w:type="dxa"/>
            <w:tcBorders>
              <w:top w:val="single" w:sz="4" w:space="0" w:color="auto"/>
              <w:left w:val="nil"/>
              <w:bottom w:val="single" w:sz="4" w:space="0" w:color="auto"/>
              <w:right w:val="nil"/>
            </w:tcBorders>
            <w:hideMark/>
          </w:tcPr>
          <w:p w14:paraId="3B9DBF49" w14:textId="77777777" w:rsidR="007D3D49" w:rsidRPr="00635DF7" w:rsidRDefault="007D3D49" w:rsidP="006C5EBE">
            <w:pPr>
              <w:jc w:val="center"/>
              <w:rPr>
                <w:rFonts w:ascii="Times New Roman" w:hAnsi="Times New Roman" w:cs="Times New Roman"/>
                <w:b/>
              </w:rPr>
            </w:pPr>
            <w:proofErr w:type="spellStart"/>
            <w:r w:rsidRPr="00635DF7">
              <w:rPr>
                <w:rFonts w:ascii="Times New Roman" w:hAnsi="Times New Roman" w:cs="Times New Roman"/>
                <w:b/>
              </w:rPr>
              <w:t>Pvalue</w:t>
            </w:r>
            <w:proofErr w:type="spellEnd"/>
            <w:r w:rsidRPr="00635DF7">
              <w:rPr>
                <w:rFonts w:ascii="Times New Roman" w:hAnsi="Times New Roman" w:cs="Times New Roman"/>
                <w:b/>
              </w:rPr>
              <w:t xml:space="preserve"> </w:t>
            </w:r>
          </w:p>
        </w:tc>
      </w:tr>
      <w:tr w:rsidR="007D3D49" w:rsidRPr="00635DF7" w14:paraId="3EEC5C53" w14:textId="77777777" w:rsidTr="006C5EBE">
        <w:tc>
          <w:tcPr>
            <w:tcW w:w="2790" w:type="dxa"/>
            <w:tcBorders>
              <w:top w:val="single" w:sz="4" w:space="0" w:color="auto"/>
              <w:left w:val="nil"/>
              <w:bottom w:val="nil"/>
              <w:right w:val="nil"/>
            </w:tcBorders>
            <w:hideMark/>
          </w:tcPr>
          <w:p w14:paraId="4037387E" w14:textId="77777777" w:rsidR="007D3D49" w:rsidRPr="00635DF7" w:rsidRDefault="007D3D49" w:rsidP="006C5EBE">
            <w:pPr>
              <w:rPr>
                <w:rFonts w:ascii="Times New Roman" w:hAnsi="Times New Roman" w:cs="Times New Roman"/>
              </w:rPr>
            </w:pPr>
            <w:r w:rsidRPr="00635DF7">
              <w:rPr>
                <w:rFonts w:ascii="Times New Roman" w:hAnsi="Times New Roman" w:cs="Times New Roman"/>
              </w:rPr>
              <w:t>Parent Age</w:t>
            </w:r>
          </w:p>
        </w:tc>
        <w:tc>
          <w:tcPr>
            <w:tcW w:w="640" w:type="dxa"/>
            <w:tcBorders>
              <w:top w:val="single" w:sz="4" w:space="0" w:color="auto"/>
              <w:left w:val="nil"/>
              <w:bottom w:val="nil"/>
              <w:right w:val="nil"/>
            </w:tcBorders>
            <w:hideMark/>
          </w:tcPr>
          <w:p w14:paraId="217F05D4"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31</w:t>
            </w:r>
          </w:p>
        </w:tc>
        <w:tc>
          <w:tcPr>
            <w:tcW w:w="796" w:type="dxa"/>
            <w:tcBorders>
              <w:top w:val="single" w:sz="4" w:space="0" w:color="auto"/>
              <w:left w:val="nil"/>
              <w:bottom w:val="nil"/>
              <w:right w:val="single" w:sz="4" w:space="0" w:color="auto"/>
            </w:tcBorders>
            <w:hideMark/>
          </w:tcPr>
          <w:p w14:paraId="210F5781"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(8.6)</w:t>
            </w:r>
          </w:p>
        </w:tc>
        <w:tc>
          <w:tcPr>
            <w:tcW w:w="788" w:type="dxa"/>
            <w:tcBorders>
              <w:top w:val="single" w:sz="4" w:space="0" w:color="auto"/>
              <w:left w:val="single" w:sz="4" w:space="0" w:color="auto"/>
              <w:bottom w:val="nil"/>
              <w:right w:val="nil"/>
            </w:tcBorders>
            <w:hideMark/>
          </w:tcPr>
          <w:p w14:paraId="649CC042"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28</w:t>
            </w:r>
          </w:p>
        </w:tc>
        <w:tc>
          <w:tcPr>
            <w:tcW w:w="873" w:type="dxa"/>
            <w:tcBorders>
              <w:top w:val="single" w:sz="4" w:space="0" w:color="auto"/>
              <w:left w:val="nil"/>
              <w:bottom w:val="nil"/>
              <w:right w:val="nil"/>
            </w:tcBorders>
            <w:hideMark/>
          </w:tcPr>
          <w:p w14:paraId="6C88A05B"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(5.5)</w:t>
            </w:r>
          </w:p>
        </w:tc>
        <w:tc>
          <w:tcPr>
            <w:tcW w:w="782" w:type="dxa"/>
            <w:tcBorders>
              <w:top w:val="single" w:sz="4" w:space="0" w:color="auto"/>
              <w:left w:val="nil"/>
              <w:bottom w:val="nil"/>
              <w:right w:val="nil"/>
            </w:tcBorders>
            <w:hideMark/>
          </w:tcPr>
          <w:p w14:paraId="507CB0FA"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34</w:t>
            </w:r>
          </w:p>
        </w:tc>
        <w:tc>
          <w:tcPr>
            <w:tcW w:w="834" w:type="dxa"/>
            <w:tcBorders>
              <w:top w:val="single" w:sz="4" w:space="0" w:color="auto"/>
              <w:left w:val="nil"/>
              <w:bottom w:val="nil"/>
              <w:right w:val="nil"/>
            </w:tcBorders>
            <w:hideMark/>
          </w:tcPr>
          <w:p w14:paraId="5A9E52A4"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(10.8)</w:t>
            </w:r>
          </w:p>
        </w:tc>
        <w:tc>
          <w:tcPr>
            <w:tcW w:w="883" w:type="dxa"/>
            <w:tcBorders>
              <w:top w:val="single" w:sz="4" w:space="0" w:color="auto"/>
              <w:left w:val="nil"/>
              <w:bottom w:val="nil"/>
              <w:right w:val="nil"/>
            </w:tcBorders>
            <w:hideMark/>
          </w:tcPr>
          <w:p w14:paraId="06D54608" w14:textId="77777777" w:rsidR="007D3D49" w:rsidRPr="00635DF7" w:rsidRDefault="007D3D49" w:rsidP="006C5EBE">
            <w:pPr>
              <w:jc w:val="center"/>
              <w:rPr>
                <w:rFonts w:ascii="Times New Roman" w:hAnsi="Times New Roman" w:cs="Times New Roman"/>
                <w:b/>
              </w:rPr>
            </w:pPr>
            <w:r w:rsidRPr="00635DF7">
              <w:rPr>
                <w:rFonts w:ascii="Times New Roman" w:hAnsi="Times New Roman" w:cs="Times New Roman"/>
                <w:b/>
              </w:rPr>
              <w:t>.001</w:t>
            </w:r>
          </w:p>
        </w:tc>
      </w:tr>
      <w:tr w:rsidR="007D3D49" w:rsidRPr="00635DF7" w14:paraId="4E5662EC" w14:textId="77777777" w:rsidTr="006C5EBE">
        <w:tc>
          <w:tcPr>
            <w:tcW w:w="2790" w:type="dxa"/>
            <w:hideMark/>
          </w:tcPr>
          <w:p w14:paraId="0C9EB791" w14:textId="77777777" w:rsidR="007D3D49" w:rsidRPr="00635DF7" w:rsidRDefault="007D3D49" w:rsidP="006C5EBE">
            <w:pPr>
              <w:rPr>
                <w:rFonts w:ascii="Times New Roman" w:hAnsi="Times New Roman" w:cs="Times New Roman"/>
              </w:rPr>
            </w:pPr>
            <w:r w:rsidRPr="00635DF7">
              <w:rPr>
                <w:rFonts w:ascii="Times New Roman" w:hAnsi="Times New Roman" w:cs="Times New Roman"/>
              </w:rPr>
              <w:t>Age when first child born</w:t>
            </w:r>
          </w:p>
        </w:tc>
        <w:tc>
          <w:tcPr>
            <w:tcW w:w="640" w:type="dxa"/>
            <w:hideMark/>
          </w:tcPr>
          <w:p w14:paraId="3FF5003B"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23</w:t>
            </w:r>
          </w:p>
        </w:tc>
        <w:tc>
          <w:tcPr>
            <w:tcW w:w="796" w:type="dxa"/>
            <w:tcBorders>
              <w:top w:val="nil"/>
              <w:left w:val="nil"/>
              <w:bottom w:val="nil"/>
              <w:right w:val="single" w:sz="4" w:space="0" w:color="auto"/>
            </w:tcBorders>
            <w:hideMark/>
          </w:tcPr>
          <w:p w14:paraId="3516A702"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(5.2)</w:t>
            </w:r>
          </w:p>
        </w:tc>
        <w:tc>
          <w:tcPr>
            <w:tcW w:w="788" w:type="dxa"/>
            <w:tcBorders>
              <w:top w:val="nil"/>
              <w:left w:val="single" w:sz="4" w:space="0" w:color="auto"/>
              <w:bottom w:val="nil"/>
              <w:right w:val="nil"/>
            </w:tcBorders>
            <w:hideMark/>
          </w:tcPr>
          <w:p w14:paraId="4111CDD2"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22</w:t>
            </w:r>
          </w:p>
        </w:tc>
        <w:tc>
          <w:tcPr>
            <w:tcW w:w="873" w:type="dxa"/>
            <w:hideMark/>
          </w:tcPr>
          <w:p w14:paraId="6311BFD0"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(4.5)</w:t>
            </w:r>
          </w:p>
        </w:tc>
        <w:tc>
          <w:tcPr>
            <w:tcW w:w="782" w:type="dxa"/>
            <w:hideMark/>
          </w:tcPr>
          <w:p w14:paraId="3AF87630"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24</w:t>
            </w:r>
          </w:p>
        </w:tc>
        <w:tc>
          <w:tcPr>
            <w:tcW w:w="834" w:type="dxa"/>
            <w:hideMark/>
          </w:tcPr>
          <w:p w14:paraId="68DAF14B"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(5.9)</w:t>
            </w:r>
          </w:p>
        </w:tc>
        <w:tc>
          <w:tcPr>
            <w:tcW w:w="883" w:type="dxa"/>
            <w:hideMark/>
          </w:tcPr>
          <w:p w14:paraId="3267ACA1"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.05</w:t>
            </w:r>
          </w:p>
        </w:tc>
      </w:tr>
      <w:tr w:rsidR="007D3D49" w:rsidRPr="00635DF7" w14:paraId="09262C82" w14:textId="77777777" w:rsidTr="006C5EBE">
        <w:tc>
          <w:tcPr>
            <w:tcW w:w="2790" w:type="dxa"/>
            <w:tcBorders>
              <w:top w:val="nil"/>
              <w:left w:val="nil"/>
              <w:right w:val="nil"/>
            </w:tcBorders>
            <w:hideMark/>
          </w:tcPr>
          <w:p w14:paraId="631DC7AE" w14:textId="77777777" w:rsidR="007D3D49" w:rsidRPr="00635DF7" w:rsidRDefault="007D3D49" w:rsidP="006C5EBE">
            <w:pPr>
              <w:rPr>
                <w:rFonts w:ascii="Times New Roman" w:hAnsi="Times New Roman" w:cs="Times New Roman"/>
              </w:rPr>
            </w:pPr>
            <w:r w:rsidRPr="00635DF7">
              <w:rPr>
                <w:rFonts w:ascii="Times New Roman" w:hAnsi="Times New Roman" w:cs="Times New Roman"/>
              </w:rPr>
              <w:t># of Kids ≤ 5 years old</w:t>
            </w:r>
          </w:p>
        </w:tc>
        <w:tc>
          <w:tcPr>
            <w:tcW w:w="640" w:type="dxa"/>
            <w:tcBorders>
              <w:top w:val="nil"/>
              <w:left w:val="nil"/>
              <w:right w:val="nil"/>
            </w:tcBorders>
            <w:hideMark/>
          </w:tcPr>
          <w:p w14:paraId="08825726"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2.5</w:t>
            </w:r>
          </w:p>
        </w:tc>
        <w:tc>
          <w:tcPr>
            <w:tcW w:w="796" w:type="dxa"/>
            <w:tcBorders>
              <w:top w:val="nil"/>
              <w:left w:val="nil"/>
              <w:right w:val="single" w:sz="4" w:space="0" w:color="auto"/>
            </w:tcBorders>
            <w:hideMark/>
          </w:tcPr>
          <w:p w14:paraId="0B5606BA"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(1.2)</w:t>
            </w:r>
          </w:p>
        </w:tc>
        <w:tc>
          <w:tcPr>
            <w:tcW w:w="788" w:type="dxa"/>
            <w:tcBorders>
              <w:top w:val="nil"/>
              <w:left w:val="single" w:sz="4" w:space="0" w:color="auto"/>
              <w:right w:val="nil"/>
            </w:tcBorders>
            <w:hideMark/>
          </w:tcPr>
          <w:p w14:paraId="7E4CD0B4"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2.6</w:t>
            </w:r>
          </w:p>
        </w:tc>
        <w:tc>
          <w:tcPr>
            <w:tcW w:w="873" w:type="dxa"/>
            <w:tcBorders>
              <w:top w:val="nil"/>
              <w:left w:val="nil"/>
              <w:right w:val="nil"/>
            </w:tcBorders>
            <w:hideMark/>
          </w:tcPr>
          <w:p w14:paraId="63EF8000"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(1.2)</w:t>
            </w:r>
          </w:p>
        </w:tc>
        <w:tc>
          <w:tcPr>
            <w:tcW w:w="782" w:type="dxa"/>
            <w:tcBorders>
              <w:top w:val="nil"/>
              <w:left w:val="nil"/>
              <w:right w:val="nil"/>
            </w:tcBorders>
            <w:hideMark/>
          </w:tcPr>
          <w:p w14:paraId="760E6E84"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2.3</w:t>
            </w:r>
          </w:p>
        </w:tc>
        <w:tc>
          <w:tcPr>
            <w:tcW w:w="834" w:type="dxa"/>
            <w:tcBorders>
              <w:top w:val="nil"/>
              <w:left w:val="nil"/>
              <w:right w:val="nil"/>
            </w:tcBorders>
            <w:hideMark/>
          </w:tcPr>
          <w:p w14:paraId="22B2BB16"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(1.1)</w:t>
            </w:r>
          </w:p>
        </w:tc>
        <w:tc>
          <w:tcPr>
            <w:tcW w:w="883" w:type="dxa"/>
            <w:tcBorders>
              <w:top w:val="nil"/>
              <w:left w:val="nil"/>
              <w:right w:val="nil"/>
            </w:tcBorders>
            <w:hideMark/>
          </w:tcPr>
          <w:p w14:paraId="3DBFFBA8"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.23</w:t>
            </w:r>
          </w:p>
        </w:tc>
      </w:tr>
      <w:tr w:rsidR="007D3D49" w:rsidRPr="00635DF7" w14:paraId="7AAB760A" w14:textId="77777777" w:rsidTr="006C5EBE">
        <w:tc>
          <w:tcPr>
            <w:tcW w:w="2790" w:type="dxa"/>
            <w:tcBorders>
              <w:left w:val="nil"/>
              <w:right w:val="nil"/>
            </w:tcBorders>
          </w:tcPr>
          <w:p w14:paraId="18862DDA" w14:textId="77777777" w:rsidR="007D3D49" w:rsidRPr="00635DF7" w:rsidRDefault="007D3D49" w:rsidP="006C5EBE">
            <w:pPr>
              <w:rPr>
                <w:rFonts w:ascii="Times New Roman" w:hAnsi="Times New Roman" w:cs="Times New Roman"/>
              </w:rPr>
            </w:pPr>
            <w:r w:rsidRPr="00635DF7">
              <w:rPr>
                <w:rFonts w:ascii="Times New Roman" w:hAnsi="Times New Roman" w:cs="Times New Roman"/>
              </w:rPr>
              <w:t>Alcohol Use</w:t>
            </w:r>
          </w:p>
        </w:tc>
        <w:tc>
          <w:tcPr>
            <w:tcW w:w="640" w:type="dxa"/>
            <w:tcBorders>
              <w:left w:val="nil"/>
              <w:right w:val="nil"/>
            </w:tcBorders>
          </w:tcPr>
          <w:p w14:paraId="6E99C7A1"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0.9</w:t>
            </w:r>
          </w:p>
        </w:tc>
        <w:tc>
          <w:tcPr>
            <w:tcW w:w="796" w:type="dxa"/>
            <w:tcBorders>
              <w:left w:val="nil"/>
              <w:right w:val="single" w:sz="4" w:space="0" w:color="auto"/>
            </w:tcBorders>
          </w:tcPr>
          <w:p w14:paraId="1C8C579D"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(1.0)</w:t>
            </w:r>
          </w:p>
        </w:tc>
        <w:tc>
          <w:tcPr>
            <w:tcW w:w="788" w:type="dxa"/>
            <w:tcBorders>
              <w:left w:val="single" w:sz="4" w:space="0" w:color="auto"/>
              <w:right w:val="nil"/>
            </w:tcBorders>
          </w:tcPr>
          <w:p w14:paraId="4F09D9B5"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1.0</w:t>
            </w:r>
          </w:p>
        </w:tc>
        <w:tc>
          <w:tcPr>
            <w:tcW w:w="873" w:type="dxa"/>
            <w:tcBorders>
              <w:left w:val="nil"/>
              <w:right w:val="nil"/>
            </w:tcBorders>
          </w:tcPr>
          <w:p w14:paraId="47F1CD05"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(1.2)</w:t>
            </w:r>
          </w:p>
        </w:tc>
        <w:tc>
          <w:tcPr>
            <w:tcW w:w="782" w:type="dxa"/>
            <w:tcBorders>
              <w:left w:val="nil"/>
              <w:right w:val="nil"/>
            </w:tcBorders>
          </w:tcPr>
          <w:p w14:paraId="2253119C"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0.8</w:t>
            </w:r>
          </w:p>
        </w:tc>
        <w:tc>
          <w:tcPr>
            <w:tcW w:w="834" w:type="dxa"/>
            <w:tcBorders>
              <w:left w:val="nil"/>
              <w:right w:val="nil"/>
            </w:tcBorders>
          </w:tcPr>
          <w:p w14:paraId="67D74A83"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(0.8)</w:t>
            </w:r>
          </w:p>
        </w:tc>
        <w:tc>
          <w:tcPr>
            <w:tcW w:w="883" w:type="dxa"/>
            <w:tcBorders>
              <w:left w:val="nil"/>
              <w:right w:val="nil"/>
            </w:tcBorders>
          </w:tcPr>
          <w:p w14:paraId="49527050"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.27</w:t>
            </w:r>
          </w:p>
        </w:tc>
      </w:tr>
      <w:tr w:rsidR="007D3D49" w:rsidRPr="00635DF7" w14:paraId="1B06516D" w14:textId="77777777" w:rsidTr="006C5EBE">
        <w:tc>
          <w:tcPr>
            <w:tcW w:w="2790" w:type="dxa"/>
            <w:tcBorders>
              <w:left w:val="nil"/>
              <w:right w:val="nil"/>
            </w:tcBorders>
          </w:tcPr>
          <w:p w14:paraId="1EDC5AB1" w14:textId="77777777" w:rsidR="007D3D49" w:rsidRPr="00635DF7" w:rsidRDefault="007D3D49" w:rsidP="006C5EBE">
            <w:pPr>
              <w:rPr>
                <w:rFonts w:ascii="Times New Roman" w:hAnsi="Times New Roman" w:cs="Times New Roman"/>
              </w:rPr>
            </w:pPr>
            <w:r w:rsidRPr="00635DF7">
              <w:rPr>
                <w:rFonts w:ascii="Times New Roman" w:hAnsi="Times New Roman" w:cs="Times New Roman"/>
              </w:rPr>
              <w:t>Drug Use</w:t>
            </w:r>
          </w:p>
        </w:tc>
        <w:tc>
          <w:tcPr>
            <w:tcW w:w="640" w:type="dxa"/>
            <w:tcBorders>
              <w:left w:val="nil"/>
              <w:right w:val="nil"/>
            </w:tcBorders>
          </w:tcPr>
          <w:p w14:paraId="068FF1ED"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0.2</w:t>
            </w:r>
          </w:p>
        </w:tc>
        <w:tc>
          <w:tcPr>
            <w:tcW w:w="796" w:type="dxa"/>
            <w:tcBorders>
              <w:left w:val="nil"/>
              <w:right w:val="single" w:sz="4" w:space="0" w:color="auto"/>
            </w:tcBorders>
          </w:tcPr>
          <w:p w14:paraId="5B40B85C"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(0.5)</w:t>
            </w:r>
          </w:p>
        </w:tc>
        <w:tc>
          <w:tcPr>
            <w:tcW w:w="788" w:type="dxa"/>
            <w:tcBorders>
              <w:left w:val="single" w:sz="4" w:space="0" w:color="auto"/>
              <w:right w:val="nil"/>
            </w:tcBorders>
          </w:tcPr>
          <w:p w14:paraId="5CED8227"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0.3</w:t>
            </w:r>
          </w:p>
        </w:tc>
        <w:tc>
          <w:tcPr>
            <w:tcW w:w="873" w:type="dxa"/>
            <w:tcBorders>
              <w:left w:val="nil"/>
              <w:right w:val="nil"/>
            </w:tcBorders>
          </w:tcPr>
          <w:p w14:paraId="1EA6FF1E"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(0.6)</w:t>
            </w:r>
          </w:p>
        </w:tc>
        <w:tc>
          <w:tcPr>
            <w:tcW w:w="782" w:type="dxa"/>
            <w:tcBorders>
              <w:left w:val="nil"/>
              <w:right w:val="nil"/>
            </w:tcBorders>
          </w:tcPr>
          <w:p w14:paraId="0795D96D"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0.2</w:t>
            </w:r>
          </w:p>
        </w:tc>
        <w:tc>
          <w:tcPr>
            <w:tcW w:w="834" w:type="dxa"/>
            <w:tcBorders>
              <w:left w:val="nil"/>
              <w:right w:val="nil"/>
            </w:tcBorders>
          </w:tcPr>
          <w:p w14:paraId="1AC2CE91"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(0.4)</w:t>
            </w:r>
          </w:p>
        </w:tc>
        <w:tc>
          <w:tcPr>
            <w:tcW w:w="883" w:type="dxa"/>
            <w:tcBorders>
              <w:left w:val="nil"/>
              <w:right w:val="nil"/>
            </w:tcBorders>
          </w:tcPr>
          <w:p w14:paraId="3E7B4B58"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.22</w:t>
            </w:r>
          </w:p>
        </w:tc>
      </w:tr>
      <w:tr w:rsidR="007D3D49" w:rsidRPr="00635DF7" w14:paraId="17913309" w14:textId="77777777" w:rsidTr="006C5EBE">
        <w:tc>
          <w:tcPr>
            <w:tcW w:w="2790" w:type="dxa"/>
            <w:tcBorders>
              <w:left w:val="nil"/>
              <w:right w:val="nil"/>
            </w:tcBorders>
          </w:tcPr>
          <w:p w14:paraId="5C6E8FFF" w14:textId="77777777" w:rsidR="007D3D49" w:rsidRPr="00635DF7" w:rsidRDefault="007D3D49" w:rsidP="006C5EBE">
            <w:pPr>
              <w:rPr>
                <w:rFonts w:ascii="Times New Roman" w:hAnsi="Times New Roman" w:cs="Times New Roman"/>
              </w:rPr>
            </w:pPr>
            <w:r w:rsidRPr="00635DF7">
              <w:rPr>
                <w:rFonts w:ascii="Times New Roman" w:hAnsi="Times New Roman" w:cs="Times New Roman"/>
              </w:rPr>
              <w:t>Depression</w:t>
            </w:r>
          </w:p>
        </w:tc>
        <w:tc>
          <w:tcPr>
            <w:tcW w:w="640" w:type="dxa"/>
            <w:tcBorders>
              <w:left w:val="nil"/>
              <w:right w:val="nil"/>
            </w:tcBorders>
          </w:tcPr>
          <w:p w14:paraId="18971BD5"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9.5</w:t>
            </w:r>
          </w:p>
        </w:tc>
        <w:tc>
          <w:tcPr>
            <w:tcW w:w="796" w:type="dxa"/>
            <w:tcBorders>
              <w:left w:val="nil"/>
              <w:right w:val="single" w:sz="4" w:space="0" w:color="auto"/>
            </w:tcBorders>
          </w:tcPr>
          <w:p w14:paraId="781366F5"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(6.6)</w:t>
            </w:r>
          </w:p>
        </w:tc>
        <w:tc>
          <w:tcPr>
            <w:tcW w:w="788" w:type="dxa"/>
            <w:tcBorders>
              <w:left w:val="single" w:sz="4" w:space="0" w:color="auto"/>
              <w:right w:val="nil"/>
            </w:tcBorders>
          </w:tcPr>
          <w:p w14:paraId="1B61C822"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10.4</w:t>
            </w:r>
          </w:p>
        </w:tc>
        <w:tc>
          <w:tcPr>
            <w:tcW w:w="873" w:type="dxa"/>
            <w:tcBorders>
              <w:left w:val="nil"/>
              <w:right w:val="nil"/>
            </w:tcBorders>
          </w:tcPr>
          <w:p w14:paraId="11476F09"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(6.9)</w:t>
            </w:r>
          </w:p>
        </w:tc>
        <w:tc>
          <w:tcPr>
            <w:tcW w:w="782" w:type="dxa"/>
            <w:tcBorders>
              <w:left w:val="nil"/>
              <w:right w:val="nil"/>
            </w:tcBorders>
          </w:tcPr>
          <w:p w14:paraId="7C7B65F6"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8.1</w:t>
            </w:r>
          </w:p>
        </w:tc>
        <w:tc>
          <w:tcPr>
            <w:tcW w:w="834" w:type="dxa"/>
            <w:tcBorders>
              <w:left w:val="nil"/>
              <w:right w:val="nil"/>
            </w:tcBorders>
          </w:tcPr>
          <w:p w14:paraId="25038954"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(6.0)</w:t>
            </w:r>
          </w:p>
        </w:tc>
        <w:tc>
          <w:tcPr>
            <w:tcW w:w="883" w:type="dxa"/>
            <w:tcBorders>
              <w:left w:val="nil"/>
              <w:right w:val="nil"/>
            </w:tcBorders>
          </w:tcPr>
          <w:p w14:paraId="13B811D7"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.07</w:t>
            </w:r>
          </w:p>
        </w:tc>
      </w:tr>
      <w:tr w:rsidR="007D3D49" w:rsidRPr="00635DF7" w14:paraId="73CBC13F" w14:textId="77777777" w:rsidTr="006C5EBE">
        <w:tc>
          <w:tcPr>
            <w:tcW w:w="2790" w:type="dxa"/>
            <w:tcBorders>
              <w:left w:val="nil"/>
              <w:bottom w:val="single" w:sz="4" w:space="0" w:color="auto"/>
              <w:right w:val="nil"/>
            </w:tcBorders>
          </w:tcPr>
          <w:p w14:paraId="385F9026" w14:textId="77777777" w:rsidR="007D3D49" w:rsidRPr="00635DF7" w:rsidRDefault="007D3D49" w:rsidP="006C5EBE">
            <w:pPr>
              <w:rPr>
                <w:rFonts w:ascii="Times New Roman" w:hAnsi="Times New Roman" w:cs="Times New Roman"/>
              </w:rPr>
            </w:pPr>
            <w:r w:rsidRPr="00635DF7">
              <w:rPr>
                <w:rFonts w:ascii="Times New Roman" w:hAnsi="Times New Roman" w:cs="Times New Roman"/>
              </w:rPr>
              <w:t>Interpersonal Support</w:t>
            </w:r>
          </w:p>
        </w:tc>
        <w:tc>
          <w:tcPr>
            <w:tcW w:w="640" w:type="dxa"/>
            <w:tcBorders>
              <w:left w:val="nil"/>
              <w:bottom w:val="single" w:sz="4" w:space="0" w:color="auto"/>
              <w:right w:val="nil"/>
            </w:tcBorders>
          </w:tcPr>
          <w:p w14:paraId="4529DE44"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21.0</w:t>
            </w:r>
          </w:p>
        </w:tc>
        <w:tc>
          <w:tcPr>
            <w:tcW w:w="796" w:type="dxa"/>
            <w:tcBorders>
              <w:left w:val="nil"/>
              <w:bottom w:val="single" w:sz="4" w:space="0" w:color="auto"/>
              <w:right w:val="single" w:sz="4" w:space="0" w:color="auto"/>
            </w:tcBorders>
          </w:tcPr>
          <w:p w14:paraId="7240B616"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(3.5)</w:t>
            </w:r>
          </w:p>
        </w:tc>
        <w:tc>
          <w:tcPr>
            <w:tcW w:w="788" w:type="dxa"/>
            <w:tcBorders>
              <w:left w:val="single" w:sz="4" w:space="0" w:color="auto"/>
              <w:bottom w:val="single" w:sz="4" w:space="0" w:color="auto"/>
              <w:right w:val="nil"/>
            </w:tcBorders>
          </w:tcPr>
          <w:p w14:paraId="37964C99"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20.4</w:t>
            </w:r>
          </w:p>
        </w:tc>
        <w:tc>
          <w:tcPr>
            <w:tcW w:w="873" w:type="dxa"/>
            <w:tcBorders>
              <w:left w:val="nil"/>
              <w:bottom w:val="single" w:sz="4" w:space="0" w:color="auto"/>
              <w:right w:val="nil"/>
            </w:tcBorders>
          </w:tcPr>
          <w:p w14:paraId="1C0564EC"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(3.8)</w:t>
            </w:r>
          </w:p>
        </w:tc>
        <w:tc>
          <w:tcPr>
            <w:tcW w:w="782" w:type="dxa"/>
            <w:tcBorders>
              <w:left w:val="nil"/>
              <w:bottom w:val="single" w:sz="4" w:space="0" w:color="auto"/>
              <w:right w:val="nil"/>
            </w:tcBorders>
          </w:tcPr>
          <w:p w14:paraId="15FD7553"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21.8</w:t>
            </w:r>
          </w:p>
        </w:tc>
        <w:tc>
          <w:tcPr>
            <w:tcW w:w="834" w:type="dxa"/>
            <w:tcBorders>
              <w:left w:val="nil"/>
              <w:bottom w:val="single" w:sz="4" w:space="0" w:color="auto"/>
              <w:right w:val="nil"/>
            </w:tcBorders>
          </w:tcPr>
          <w:p w14:paraId="378A9E7C"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(2.9)</w:t>
            </w:r>
          </w:p>
        </w:tc>
        <w:tc>
          <w:tcPr>
            <w:tcW w:w="883" w:type="dxa"/>
            <w:tcBorders>
              <w:left w:val="nil"/>
              <w:bottom w:val="single" w:sz="4" w:space="0" w:color="auto"/>
              <w:right w:val="nil"/>
            </w:tcBorders>
          </w:tcPr>
          <w:p w14:paraId="5BEED0C3" w14:textId="77777777" w:rsidR="007D3D49" w:rsidRPr="00635DF7" w:rsidRDefault="007D3D49" w:rsidP="006C5EBE">
            <w:pPr>
              <w:jc w:val="center"/>
              <w:rPr>
                <w:rFonts w:ascii="Times New Roman" w:hAnsi="Times New Roman" w:cs="Times New Roman"/>
                <w:b/>
              </w:rPr>
            </w:pPr>
            <w:r w:rsidRPr="00635DF7">
              <w:rPr>
                <w:rFonts w:ascii="Times New Roman" w:hAnsi="Times New Roman" w:cs="Times New Roman"/>
                <w:b/>
              </w:rPr>
              <w:t>.04</w:t>
            </w:r>
          </w:p>
        </w:tc>
      </w:tr>
      <w:tr w:rsidR="007D3D49" w:rsidRPr="00635DF7" w14:paraId="2F4EEB78" w14:textId="77777777" w:rsidTr="006C5EBE">
        <w:tc>
          <w:tcPr>
            <w:tcW w:w="8386" w:type="dxa"/>
            <w:gridSpan w:val="8"/>
            <w:tcBorders>
              <w:top w:val="single" w:sz="4" w:space="0" w:color="auto"/>
              <w:left w:val="nil"/>
              <w:right w:val="nil"/>
            </w:tcBorders>
          </w:tcPr>
          <w:p w14:paraId="6AC18A1E" w14:textId="77777777" w:rsidR="007D3D49" w:rsidRPr="00635DF7" w:rsidRDefault="007D3D49" w:rsidP="006C5EBE">
            <w:pPr>
              <w:jc w:val="both"/>
              <w:rPr>
                <w:rFonts w:ascii="Times New Roman" w:hAnsi="Times New Roman" w:cs="Times New Roman"/>
              </w:rPr>
            </w:pPr>
            <w:r w:rsidRPr="00635DF7">
              <w:rPr>
                <w:rFonts w:ascii="Times New Roman" w:hAnsi="Times New Roman" w:cs="Times New Roman"/>
                <w:vertAlign w:val="superscript"/>
              </w:rPr>
              <w:t xml:space="preserve">a </w:t>
            </w:r>
            <w:r w:rsidRPr="00635DF7">
              <w:rPr>
                <w:rFonts w:ascii="Times New Roman" w:hAnsi="Times New Roman" w:cs="Times New Roman"/>
              </w:rPr>
              <w:t>Due to participants’ ability to skip questions there is varied missingness across items</w:t>
            </w:r>
          </w:p>
          <w:p w14:paraId="1DDC8109" w14:textId="77777777" w:rsidR="007D3D49" w:rsidRPr="00635DF7" w:rsidRDefault="007D3D49" w:rsidP="006C5EBE">
            <w:pPr>
              <w:jc w:val="both"/>
              <w:rPr>
                <w:rFonts w:ascii="Times New Roman" w:hAnsi="Times New Roman" w:cs="Times New Roman"/>
                <w:bCs/>
              </w:rPr>
            </w:pPr>
            <w:r w:rsidRPr="00635DF7">
              <w:rPr>
                <w:rFonts w:ascii="Times New Roman" w:hAnsi="Times New Roman" w:cs="Times New Roman"/>
                <w:bCs/>
                <w:i/>
                <w:iCs/>
              </w:rPr>
              <w:t>KEY</w:t>
            </w:r>
            <w:r w:rsidRPr="00635DF7">
              <w:rPr>
                <w:rFonts w:ascii="Times New Roman" w:hAnsi="Times New Roman" w:cs="Times New Roman"/>
                <w:bCs/>
              </w:rPr>
              <w:t xml:space="preserve">: </w:t>
            </w:r>
            <w:r w:rsidRPr="00635DF7">
              <w:rPr>
                <w:rFonts w:ascii="Times New Roman" w:hAnsi="Times New Roman" w:cs="Times New Roman"/>
                <w:bCs/>
                <w:i/>
                <w:iCs/>
              </w:rPr>
              <w:t>PAT= Parents as Teachers; AU = As Usual; SPSHK = Smart Parents – Safe and Healthy Kids</w:t>
            </w:r>
          </w:p>
        </w:tc>
      </w:tr>
    </w:tbl>
    <w:p w14:paraId="01AC3317" w14:textId="77777777" w:rsidR="007D3D49" w:rsidRPr="00635DF7" w:rsidRDefault="007D3D49" w:rsidP="007D3D49">
      <w:pPr>
        <w:rPr>
          <w:rFonts w:ascii="Times New Roman" w:hAnsi="Times New Roman" w:cs="Times New Roman"/>
        </w:rPr>
      </w:pPr>
    </w:p>
    <w:p w14:paraId="46309A53" w14:textId="77777777" w:rsidR="007D3D49" w:rsidRPr="00635DF7" w:rsidRDefault="007D3D49" w:rsidP="007D3D49">
      <w:pPr>
        <w:rPr>
          <w:rFonts w:ascii="Times New Roman" w:hAnsi="Times New Roman" w:cs="Times New Roman"/>
        </w:rPr>
        <w:sectPr w:rsidR="007D3D49" w:rsidRPr="00635DF7" w:rsidSect="00B52270">
          <w:pgSz w:w="12240" w:h="15840"/>
          <w:pgMar w:top="1440" w:right="1440" w:bottom="1440" w:left="1440" w:header="720" w:footer="720" w:gutter="0"/>
          <w:cols w:space="720"/>
          <w:docGrid w:linePitch="360"/>
        </w:sectPr>
      </w:pPr>
    </w:p>
    <w:p w14:paraId="519D38FF" w14:textId="77777777" w:rsidR="007D3D49" w:rsidRPr="00635DF7" w:rsidRDefault="007D3D49" w:rsidP="007D3D49">
      <w:pPr>
        <w:spacing w:after="0"/>
        <w:rPr>
          <w:rFonts w:ascii="Times New Roman" w:hAnsi="Times New Roman" w:cs="Times New Roman"/>
          <w:b/>
          <w:bCs/>
        </w:rPr>
      </w:pPr>
      <w:r w:rsidRPr="00635DF7">
        <w:rPr>
          <w:rFonts w:ascii="Times New Roman" w:hAnsi="Times New Roman" w:cs="Times New Roman"/>
          <w:b/>
          <w:bCs/>
        </w:rPr>
        <w:lastRenderedPageBreak/>
        <w:t>Table 2</w:t>
      </w:r>
    </w:p>
    <w:p w14:paraId="17A06D20" w14:textId="77777777" w:rsidR="007D3D49" w:rsidRPr="00635DF7" w:rsidRDefault="007D3D49" w:rsidP="007D3D49">
      <w:pPr>
        <w:spacing w:after="0"/>
        <w:rPr>
          <w:rFonts w:ascii="Times New Roman" w:hAnsi="Times New Roman" w:cs="Times New Roman"/>
          <w:bCs/>
        </w:rPr>
      </w:pPr>
    </w:p>
    <w:p w14:paraId="008719FA" w14:textId="77777777" w:rsidR="007D3D49" w:rsidRPr="00635DF7" w:rsidRDefault="007D3D49" w:rsidP="007D3D49">
      <w:pPr>
        <w:spacing w:after="0"/>
        <w:rPr>
          <w:rFonts w:ascii="Times New Roman" w:hAnsi="Times New Roman" w:cs="Times New Roman"/>
          <w:bCs/>
          <w:i/>
          <w:iCs/>
        </w:rPr>
      </w:pPr>
      <w:r w:rsidRPr="00635DF7">
        <w:rPr>
          <w:rFonts w:ascii="Times New Roman" w:hAnsi="Times New Roman" w:cs="Times New Roman"/>
          <w:bCs/>
          <w:i/>
          <w:iCs/>
        </w:rPr>
        <w:t xml:space="preserve">Raw Means of Outcomes of Interest: Awareness and Behaviors as Measured by the Assessment of </w:t>
      </w:r>
      <w:proofErr w:type="spellStart"/>
      <w:r w:rsidRPr="00635DF7">
        <w:rPr>
          <w:rFonts w:ascii="Times New Roman" w:hAnsi="Times New Roman" w:cs="Times New Roman"/>
          <w:bCs/>
          <w:i/>
          <w:iCs/>
        </w:rPr>
        <w:t>SmartParent</w:t>
      </w:r>
      <w:proofErr w:type="spellEnd"/>
      <w:r w:rsidRPr="00635DF7">
        <w:rPr>
          <w:rFonts w:ascii="Times New Roman" w:hAnsi="Times New Roman" w:cs="Times New Roman"/>
          <w:bCs/>
          <w:i/>
          <w:iCs/>
        </w:rPr>
        <w:t xml:space="preserve"> Knowledge (ASK) and Parenting Behaviors as Measured by the Alabama Parenting Questionnaire (APQ)</w:t>
      </w:r>
      <w:r w:rsidRPr="00635DF7">
        <w:rPr>
          <w:rFonts w:ascii="Times New Roman" w:hAnsi="Times New Roman" w:cs="Times New Roman"/>
          <w:bCs/>
          <w:i/>
          <w:iCs/>
        </w:rPr>
        <w:br/>
      </w:r>
    </w:p>
    <w:tbl>
      <w:tblPr>
        <w:tblStyle w:val="TableGrid"/>
        <w:tblW w:w="1307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1350"/>
        <w:gridCol w:w="1170"/>
        <w:gridCol w:w="1508"/>
        <w:gridCol w:w="1102"/>
        <w:gridCol w:w="1556"/>
        <w:gridCol w:w="1170"/>
        <w:gridCol w:w="1620"/>
        <w:gridCol w:w="1080"/>
        <w:gridCol w:w="1530"/>
      </w:tblGrid>
      <w:tr w:rsidR="007D3D49" w:rsidRPr="00635DF7" w14:paraId="171DC813" w14:textId="77777777" w:rsidTr="006C5EBE">
        <w:trPr>
          <w:trHeight w:val="272"/>
        </w:trPr>
        <w:tc>
          <w:tcPr>
            <w:tcW w:w="990" w:type="dxa"/>
            <w:tcBorders>
              <w:top w:val="single" w:sz="4" w:space="0" w:color="auto"/>
              <w:left w:val="nil"/>
              <w:bottom w:val="single" w:sz="4" w:space="0" w:color="auto"/>
              <w:right w:val="nil"/>
            </w:tcBorders>
          </w:tcPr>
          <w:p w14:paraId="59FC4BE2" w14:textId="77777777" w:rsidR="007D3D49" w:rsidRPr="00635DF7" w:rsidRDefault="007D3D49" w:rsidP="006C5EBE">
            <w:pPr>
              <w:rPr>
                <w:rFonts w:ascii="Times New Roman" w:hAnsi="Times New Roman" w:cs="Times New Roman"/>
              </w:rPr>
            </w:pPr>
          </w:p>
        </w:tc>
        <w:tc>
          <w:tcPr>
            <w:tcW w:w="1350" w:type="dxa"/>
            <w:tcBorders>
              <w:top w:val="single" w:sz="4" w:space="0" w:color="auto"/>
              <w:left w:val="nil"/>
              <w:bottom w:val="single" w:sz="4" w:space="0" w:color="auto"/>
              <w:right w:val="nil"/>
            </w:tcBorders>
          </w:tcPr>
          <w:p w14:paraId="3EF8028E" w14:textId="77777777" w:rsidR="007D3D49" w:rsidRPr="00635DF7" w:rsidRDefault="007D3D49" w:rsidP="006C5EBE">
            <w:pPr>
              <w:rPr>
                <w:rFonts w:ascii="Times New Roman" w:hAnsi="Times New Roman" w:cs="Times New Roman"/>
              </w:rPr>
            </w:pPr>
          </w:p>
        </w:tc>
        <w:tc>
          <w:tcPr>
            <w:tcW w:w="2678" w:type="dxa"/>
            <w:gridSpan w:val="2"/>
            <w:tcBorders>
              <w:top w:val="single" w:sz="4" w:space="0" w:color="auto"/>
              <w:left w:val="nil"/>
              <w:bottom w:val="single" w:sz="4" w:space="0" w:color="auto"/>
              <w:right w:val="nil"/>
            </w:tcBorders>
            <w:hideMark/>
          </w:tcPr>
          <w:p w14:paraId="4B86E4A4" w14:textId="77777777" w:rsidR="007D3D49" w:rsidRPr="00635DF7" w:rsidRDefault="007D3D49" w:rsidP="006C5EBE">
            <w:pPr>
              <w:jc w:val="center"/>
              <w:rPr>
                <w:rFonts w:ascii="Times New Roman" w:hAnsi="Times New Roman" w:cs="Times New Roman"/>
                <w:b/>
              </w:rPr>
            </w:pPr>
            <w:r w:rsidRPr="00635DF7">
              <w:rPr>
                <w:rFonts w:ascii="Times New Roman" w:hAnsi="Times New Roman" w:cs="Times New Roman"/>
                <w:b/>
              </w:rPr>
              <w:t>Time 1</w:t>
            </w:r>
          </w:p>
        </w:tc>
        <w:tc>
          <w:tcPr>
            <w:tcW w:w="2658" w:type="dxa"/>
            <w:gridSpan w:val="2"/>
            <w:tcBorders>
              <w:top w:val="single" w:sz="4" w:space="0" w:color="auto"/>
              <w:left w:val="nil"/>
              <w:bottom w:val="single" w:sz="4" w:space="0" w:color="auto"/>
              <w:right w:val="nil"/>
            </w:tcBorders>
            <w:hideMark/>
          </w:tcPr>
          <w:p w14:paraId="10FE465E" w14:textId="77777777" w:rsidR="007D3D49" w:rsidRPr="00635DF7" w:rsidRDefault="007D3D49" w:rsidP="006C5EBE">
            <w:pPr>
              <w:jc w:val="center"/>
              <w:rPr>
                <w:rFonts w:ascii="Times New Roman" w:hAnsi="Times New Roman" w:cs="Times New Roman"/>
                <w:b/>
              </w:rPr>
            </w:pPr>
            <w:r w:rsidRPr="00635DF7">
              <w:rPr>
                <w:rFonts w:ascii="Times New Roman" w:hAnsi="Times New Roman" w:cs="Times New Roman"/>
                <w:b/>
              </w:rPr>
              <w:t>Time 2</w:t>
            </w:r>
          </w:p>
        </w:tc>
        <w:tc>
          <w:tcPr>
            <w:tcW w:w="2790" w:type="dxa"/>
            <w:gridSpan w:val="2"/>
            <w:tcBorders>
              <w:top w:val="single" w:sz="4" w:space="0" w:color="auto"/>
              <w:left w:val="nil"/>
              <w:bottom w:val="single" w:sz="4" w:space="0" w:color="auto"/>
              <w:right w:val="nil"/>
            </w:tcBorders>
            <w:hideMark/>
          </w:tcPr>
          <w:p w14:paraId="05DE2F03" w14:textId="77777777" w:rsidR="007D3D49" w:rsidRPr="00635DF7" w:rsidRDefault="007D3D49" w:rsidP="006C5EBE">
            <w:pPr>
              <w:jc w:val="center"/>
              <w:rPr>
                <w:rFonts w:ascii="Times New Roman" w:hAnsi="Times New Roman" w:cs="Times New Roman"/>
                <w:b/>
              </w:rPr>
            </w:pPr>
            <w:r w:rsidRPr="00635DF7">
              <w:rPr>
                <w:rFonts w:ascii="Times New Roman" w:hAnsi="Times New Roman" w:cs="Times New Roman"/>
                <w:b/>
              </w:rPr>
              <w:t>Time 3</w:t>
            </w:r>
          </w:p>
        </w:tc>
        <w:tc>
          <w:tcPr>
            <w:tcW w:w="2610" w:type="dxa"/>
            <w:gridSpan w:val="2"/>
            <w:tcBorders>
              <w:top w:val="single" w:sz="4" w:space="0" w:color="auto"/>
              <w:left w:val="nil"/>
              <w:bottom w:val="single" w:sz="4" w:space="0" w:color="auto"/>
              <w:right w:val="nil"/>
            </w:tcBorders>
            <w:hideMark/>
          </w:tcPr>
          <w:p w14:paraId="37BE35AC" w14:textId="77777777" w:rsidR="007D3D49" w:rsidRPr="00635DF7" w:rsidRDefault="007D3D49" w:rsidP="006C5EBE">
            <w:pPr>
              <w:jc w:val="center"/>
              <w:rPr>
                <w:rFonts w:ascii="Times New Roman" w:hAnsi="Times New Roman" w:cs="Times New Roman"/>
                <w:b/>
              </w:rPr>
            </w:pPr>
            <w:r w:rsidRPr="00635DF7">
              <w:rPr>
                <w:rFonts w:ascii="Times New Roman" w:hAnsi="Times New Roman" w:cs="Times New Roman"/>
                <w:b/>
              </w:rPr>
              <w:t>Time 4</w:t>
            </w:r>
          </w:p>
        </w:tc>
      </w:tr>
      <w:tr w:rsidR="007D3D49" w:rsidRPr="00635DF7" w14:paraId="2797BCB7" w14:textId="77777777" w:rsidTr="006C5EBE">
        <w:trPr>
          <w:trHeight w:val="272"/>
        </w:trPr>
        <w:tc>
          <w:tcPr>
            <w:tcW w:w="990" w:type="dxa"/>
            <w:tcBorders>
              <w:top w:val="single" w:sz="4" w:space="0" w:color="auto"/>
              <w:left w:val="nil"/>
              <w:bottom w:val="single" w:sz="4" w:space="0" w:color="auto"/>
              <w:right w:val="nil"/>
            </w:tcBorders>
          </w:tcPr>
          <w:p w14:paraId="6C914A68" w14:textId="77777777" w:rsidR="007D3D49" w:rsidRPr="00635DF7" w:rsidRDefault="007D3D49" w:rsidP="006C5EBE">
            <w:pPr>
              <w:rPr>
                <w:rFonts w:ascii="Times New Roman" w:hAnsi="Times New Roman" w:cs="Times New Roman"/>
              </w:rPr>
            </w:pPr>
            <w:r w:rsidRPr="00635DF7">
              <w:rPr>
                <w:rFonts w:ascii="Times New Roman" w:hAnsi="Times New Roman" w:cs="Times New Roman"/>
              </w:rPr>
              <w:t>Measure</w:t>
            </w:r>
          </w:p>
        </w:tc>
        <w:tc>
          <w:tcPr>
            <w:tcW w:w="1350" w:type="dxa"/>
            <w:tcBorders>
              <w:top w:val="single" w:sz="4" w:space="0" w:color="auto"/>
              <w:left w:val="nil"/>
              <w:bottom w:val="single" w:sz="4" w:space="0" w:color="auto"/>
              <w:right w:val="nil"/>
            </w:tcBorders>
            <w:hideMark/>
          </w:tcPr>
          <w:p w14:paraId="1CE058E4" w14:textId="77777777" w:rsidR="007D3D49" w:rsidRPr="00635DF7" w:rsidRDefault="007D3D49" w:rsidP="006C5EBE">
            <w:pPr>
              <w:rPr>
                <w:rFonts w:ascii="Times New Roman" w:hAnsi="Times New Roman" w:cs="Times New Roman"/>
                <w:b/>
              </w:rPr>
            </w:pPr>
            <w:r w:rsidRPr="00635DF7">
              <w:rPr>
                <w:rFonts w:ascii="Times New Roman" w:hAnsi="Times New Roman" w:cs="Times New Roman"/>
              </w:rPr>
              <w:t xml:space="preserve">Mean </w:t>
            </w:r>
            <w:r w:rsidRPr="00635DF7">
              <w:rPr>
                <w:rFonts w:ascii="Times New Roman" w:hAnsi="Times New Roman" w:cs="Times New Roman"/>
              </w:rPr>
              <w:br/>
              <w:t>(SD)</w:t>
            </w:r>
          </w:p>
        </w:tc>
        <w:tc>
          <w:tcPr>
            <w:tcW w:w="1170" w:type="dxa"/>
            <w:tcBorders>
              <w:top w:val="single" w:sz="4" w:space="0" w:color="auto"/>
              <w:left w:val="nil"/>
              <w:bottom w:val="single" w:sz="4" w:space="0" w:color="auto"/>
              <w:right w:val="nil"/>
            </w:tcBorders>
            <w:hideMark/>
          </w:tcPr>
          <w:p w14:paraId="65BEE5E3" w14:textId="77777777" w:rsidR="007D3D49" w:rsidRPr="00635DF7" w:rsidRDefault="007D3D49" w:rsidP="006C5EBE">
            <w:pPr>
              <w:jc w:val="center"/>
              <w:rPr>
                <w:rFonts w:ascii="Times New Roman" w:hAnsi="Times New Roman" w:cs="Times New Roman"/>
                <w:b/>
              </w:rPr>
            </w:pPr>
            <w:r w:rsidRPr="00635DF7">
              <w:rPr>
                <w:rFonts w:ascii="Times New Roman" w:hAnsi="Times New Roman" w:cs="Times New Roman"/>
                <w:b/>
              </w:rPr>
              <w:t>PAT-AU</w:t>
            </w:r>
          </w:p>
          <w:p w14:paraId="6786251B"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w:t>
            </w:r>
            <w:r w:rsidRPr="00635DF7">
              <w:rPr>
                <w:rFonts w:ascii="Times New Roman" w:hAnsi="Times New Roman" w:cs="Times New Roman"/>
                <w:i/>
              </w:rPr>
              <w:t>n</w:t>
            </w:r>
            <w:r w:rsidRPr="00635DF7">
              <w:rPr>
                <w:rFonts w:ascii="Times New Roman" w:hAnsi="Times New Roman" w:cs="Times New Roman"/>
              </w:rPr>
              <w:t xml:space="preserve"> = 59)</w:t>
            </w:r>
          </w:p>
        </w:tc>
        <w:tc>
          <w:tcPr>
            <w:tcW w:w="1508" w:type="dxa"/>
            <w:tcBorders>
              <w:top w:val="single" w:sz="4" w:space="0" w:color="auto"/>
              <w:left w:val="nil"/>
              <w:bottom w:val="single" w:sz="4" w:space="0" w:color="auto"/>
              <w:right w:val="nil"/>
            </w:tcBorders>
            <w:hideMark/>
          </w:tcPr>
          <w:p w14:paraId="204A6F60" w14:textId="77777777" w:rsidR="007D3D49" w:rsidRPr="00635DF7" w:rsidRDefault="007D3D49" w:rsidP="006C5EBE">
            <w:pPr>
              <w:jc w:val="center"/>
              <w:rPr>
                <w:rFonts w:ascii="Times New Roman" w:hAnsi="Times New Roman" w:cs="Times New Roman"/>
                <w:b/>
              </w:rPr>
            </w:pPr>
            <w:r w:rsidRPr="00635DF7">
              <w:rPr>
                <w:rFonts w:ascii="Times New Roman" w:hAnsi="Times New Roman" w:cs="Times New Roman"/>
                <w:b/>
              </w:rPr>
              <w:t>PAT+SPSHK</w:t>
            </w:r>
          </w:p>
          <w:p w14:paraId="629F854C"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w:t>
            </w:r>
            <w:r w:rsidRPr="00635DF7">
              <w:rPr>
                <w:rFonts w:ascii="Times New Roman" w:hAnsi="Times New Roman" w:cs="Times New Roman"/>
                <w:i/>
              </w:rPr>
              <w:t>n</w:t>
            </w:r>
            <w:r w:rsidRPr="00635DF7">
              <w:rPr>
                <w:rFonts w:ascii="Times New Roman" w:hAnsi="Times New Roman" w:cs="Times New Roman"/>
              </w:rPr>
              <w:t xml:space="preserve"> = 43)</w:t>
            </w:r>
          </w:p>
        </w:tc>
        <w:tc>
          <w:tcPr>
            <w:tcW w:w="1102" w:type="dxa"/>
            <w:tcBorders>
              <w:top w:val="single" w:sz="4" w:space="0" w:color="auto"/>
              <w:left w:val="nil"/>
              <w:bottom w:val="single" w:sz="4" w:space="0" w:color="auto"/>
              <w:right w:val="nil"/>
            </w:tcBorders>
            <w:hideMark/>
          </w:tcPr>
          <w:p w14:paraId="1CC9A322" w14:textId="77777777" w:rsidR="007D3D49" w:rsidRPr="00635DF7" w:rsidRDefault="007D3D49" w:rsidP="006C5EBE">
            <w:pPr>
              <w:jc w:val="center"/>
              <w:rPr>
                <w:rFonts w:ascii="Times New Roman" w:hAnsi="Times New Roman" w:cs="Times New Roman"/>
                <w:b/>
              </w:rPr>
            </w:pPr>
            <w:r w:rsidRPr="00635DF7">
              <w:rPr>
                <w:rFonts w:ascii="Times New Roman" w:hAnsi="Times New Roman" w:cs="Times New Roman"/>
                <w:b/>
              </w:rPr>
              <w:t>PAT-AU</w:t>
            </w:r>
          </w:p>
          <w:p w14:paraId="7E83FFC0"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w:t>
            </w:r>
            <w:r w:rsidRPr="00635DF7">
              <w:rPr>
                <w:rFonts w:ascii="Times New Roman" w:hAnsi="Times New Roman" w:cs="Times New Roman"/>
                <w:i/>
              </w:rPr>
              <w:t xml:space="preserve">n </w:t>
            </w:r>
            <w:r w:rsidRPr="00635DF7">
              <w:rPr>
                <w:rFonts w:ascii="Times New Roman" w:hAnsi="Times New Roman" w:cs="Times New Roman"/>
              </w:rPr>
              <w:t>= 52)</w:t>
            </w:r>
          </w:p>
        </w:tc>
        <w:tc>
          <w:tcPr>
            <w:tcW w:w="1556" w:type="dxa"/>
            <w:tcBorders>
              <w:top w:val="single" w:sz="4" w:space="0" w:color="auto"/>
              <w:left w:val="nil"/>
              <w:bottom w:val="single" w:sz="4" w:space="0" w:color="auto"/>
              <w:right w:val="nil"/>
            </w:tcBorders>
            <w:hideMark/>
          </w:tcPr>
          <w:p w14:paraId="28F775FE" w14:textId="77777777" w:rsidR="007D3D49" w:rsidRPr="00635DF7" w:rsidRDefault="007D3D49" w:rsidP="006C5EBE">
            <w:pPr>
              <w:jc w:val="center"/>
              <w:rPr>
                <w:rFonts w:ascii="Times New Roman" w:hAnsi="Times New Roman" w:cs="Times New Roman"/>
                <w:b/>
              </w:rPr>
            </w:pPr>
            <w:r w:rsidRPr="00635DF7">
              <w:rPr>
                <w:rFonts w:ascii="Times New Roman" w:hAnsi="Times New Roman" w:cs="Times New Roman"/>
                <w:b/>
              </w:rPr>
              <w:t>PAT+SPSHK</w:t>
            </w:r>
          </w:p>
          <w:p w14:paraId="387653E3"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w:t>
            </w:r>
            <w:r w:rsidRPr="00635DF7">
              <w:rPr>
                <w:rFonts w:ascii="Times New Roman" w:hAnsi="Times New Roman" w:cs="Times New Roman"/>
                <w:i/>
              </w:rPr>
              <w:t>n</w:t>
            </w:r>
            <w:r w:rsidRPr="00635DF7">
              <w:rPr>
                <w:rFonts w:ascii="Times New Roman" w:hAnsi="Times New Roman" w:cs="Times New Roman"/>
              </w:rPr>
              <w:t xml:space="preserve"> = 44)</w:t>
            </w:r>
          </w:p>
        </w:tc>
        <w:tc>
          <w:tcPr>
            <w:tcW w:w="1170" w:type="dxa"/>
            <w:tcBorders>
              <w:top w:val="single" w:sz="4" w:space="0" w:color="auto"/>
              <w:left w:val="nil"/>
              <w:bottom w:val="single" w:sz="4" w:space="0" w:color="auto"/>
              <w:right w:val="nil"/>
            </w:tcBorders>
            <w:hideMark/>
          </w:tcPr>
          <w:p w14:paraId="2E7CF14D" w14:textId="77777777" w:rsidR="007D3D49" w:rsidRPr="00635DF7" w:rsidRDefault="007D3D49" w:rsidP="006C5EBE">
            <w:pPr>
              <w:jc w:val="center"/>
              <w:rPr>
                <w:rFonts w:ascii="Times New Roman" w:hAnsi="Times New Roman" w:cs="Times New Roman"/>
                <w:b/>
              </w:rPr>
            </w:pPr>
            <w:r w:rsidRPr="00635DF7">
              <w:rPr>
                <w:rFonts w:ascii="Times New Roman" w:hAnsi="Times New Roman" w:cs="Times New Roman"/>
                <w:b/>
              </w:rPr>
              <w:t>PAT-AU</w:t>
            </w:r>
          </w:p>
          <w:p w14:paraId="0A41D58B"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w:t>
            </w:r>
            <w:r w:rsidRPr="00635DF7">
              <w:rPr>
                <w:rFonts w:ascii="Times New Roman" w:hAnsi="Times New Roman" w:cs="Times New Roman"/>
                <w:i/>
              </w:rPr>
              <w:t xml:space="preserve">n </w:t>
            </w:r>
            <w:r w:rsidRPr="00635DF7">
              <w:rPr>
                <w:rFonts w:ascii="Times New Roman" w:hAnsi="Times New Roman" w:cs="Times New Roman"/>
              </w:rPr>
              <w:t>= 51)</w:t>
            </w:r>
          </w:p>
        </w:tc>
        <w:tc>
          <w:tcPr>
            <w:tcW w:w="1620" w:type="dxa"/>
            <w:tcBorders>
              <w:top w:val="single" w:sz="4" w:space="0" w:color="auto"/>
              <w:left w:val="nil"/>
              <w:bottom w:val="single" w:sz="4" w:space="0" w:color="auto"/>
              <w:right w:val="nil"/>
            </w:tcBorders>
            <w:hideMark/>
          </w:tcPr>
          <w:p w14:paraId="1AA9DC50" w14:textId="77777777" w:rsidR="007D3D49" w:rsidRPr="00635DF7" w:rsidRDefault="007D3D49" w:rsidP="006C5EBE">
            <w:pPr>
              <w:jc w:val="center"/>
              <w:rPr>
                <w:rFonts w:ascii="Times New Roman" w:hAnsi="Times New Roman" w:cs="Times New Roman"/>
                <w:b/>
              </w:rPr>
            </w:pPr>
            <w:r w:rsidRPr="00635DF7">
              <w:rPr>
                <w:rFonts w:ascii="Times New Roman" w:hAnsi="Times New Roman" w:cs="Times New Roman"/>
                <w:b/>
              </w:rPr>
              <w:t>PAT+SPSHK</w:t>
            </w:r>
          </w:p>
          <w:p w14:paraId="01759FFD"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w:t>
            </w:r>
            <w:r w:rsidRPr="00635DF7">
              <w:rPr>
                <w:rFonts w:ascii="Times New Roman" w:hAnsi="Times New Roman" w:cs="Times New Roman"/>
                <w:i/>
              </w:rPr>
              <w:t xml:space="preserve">n </w:t>
            </w:r>
            <w:r w:rsidRPr="00635DF7">
              <w:rPr>
                <w:rFonts w:ascii="Times New Roman" w:hAnsi="Times New Roman" w:cs="Times New Roman"/>
              </w:rPr>
              <w:t>= 44)</w:t>
            </w:r>
          </w:p>
        </w:tc>
        <w:tc>
          <w:tcPr>
            <w:tcW w:w="1080" w:type="dxa"/>
            <w:tcBorders>
              <w:top w:val="single" w:sz="4" w:space="0" w:color="auto"/>
              <w:left w:val="nil"/>
              <w:bottom w:val="single" w:sz="4" w:space="0" w:color="auto"/>
              <w:right w:val="nil"/>
            </w:tcBorders>
            <w:hideMark/>
          </w:tcPr>
          <w:p w14:paraId="188765DC" w14:textId="77777777" w:rsidR="007D3D49" w:rsidRPr="00635DF7" w:rsidRDefault="007D3D49" w:rsidP="006C5EBE">
            <w:pPr>
              <w:jc w:val="center"/>
              <w:rPr>
                <w:rFonts w:ascii="Times New Roman" w:hAnsi="Times New Roman" w:cs="Times New Roman"/>
                <w:b/>
              </w:rPr>
            </w:pPr>
            <w:r w:rsidRPr="00635DF7">
              <w:rPr>
                <w:rFonts w:ascii="Times New Roman" w:hAnsi="Times New Roman" w:cs="Times New Roman"/>
                <w:b/>
              </w:rPr>
              <w:t>PAT-AU</w:t>
            </w:r>
          </w:p>
          <w:p w14:paraId="1D5B5E33"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w:t>
            </w:r>
            <w:r w:rsidRPr="00635DF7">
              <w:rPr>
                <w:rFonts w:ascii="Times New Roman" w:hAnsi="Times New Roman" w:cs="Times New Roman"/>
                <w:i/>
              </w:rPr>
              <w:t xml:space="preserve">n </w:t>
            </w:r>
            <w:r w:rsidRPr="00635DF7">
              <w:rPr>
                <w:rFonts w:ascii="Times New Roman" w:hAnsi="Times New Roman" w:cs="Times New Roman"/>
              </w:rPr>
              <w:t>= 48)</w:t>
            </w:r>
          </w:p>
        </w:tc>
        <w:tc>
          <w:tcPr>
            <w:tcW w:w="1530" w:type="dxa"/>
            <w:tcBorders>
              <w:top w:val="single" w:sz="4" w:space="0" w:color="auto"/>
              <w:left w:val="nil"/>
              <w:bottom w:val="single" w:sz="4" w:space="0" w:color="auto"/>
              <w:right w:val="nil"/>
            </w:tcBorders>
            <w:hideMark/>
          </w:tcPr>
          <w:p w14:paraId="55398F20" w14:textId="77777777" w:rsidR="007D3D49" w:rsidRPr="00635DF7" w:rsidRDefault="007D3D49" w:rsidP="006C5EBE">
            <w:pPr>
              <w:jc w:val="center"/>
              <w:rPr>
                <w:rFonts w:ascii="Times New Roman" w:hAnsi="Times New Roman" w:cs="Times New Roman"/>
                <w:b/>
              </w:rPr>
            </w:pPr>
            <w:r w:rsidRPr="00635DF7">
              <w:rPr>
                <w:rFonts w:ascii="Times New Roman" w:hAnsi="Times New Roman" w:cs="Times New Roman"/>
                <w:b/>
              </w:rPr>
              <w:t>PAT+SPSHK</w:t>
            </w:r>
          </w:p>
          <w:p w14:paraId="1C34907D"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w:t>
            </w:r>
            <w:r w:rsidRPr="00635DF7">
              <w:rPr>
                <w:rFonts w:ascii="Times New Roman" w:hAnsi="Times New Roman" w:cs="Times New Roman"/>
                <w:i/>
              </w:rPr>
              <w:t>n</w:t>
            </w:r>
            <w:r w:rsidRPr="00635DF7">
              <w:rPr>
                <w:rFonts w:ascii="Times New Roman" w:hAnsi="Times New Roman" w:cs="Times New Roman"/>
              </w:rPr>
              <w:t xml:space="preserve"> = 39)</w:t>
            </w:r>
          </w:p>
        </w:tc>
      </w:tr>
      <w:tr w:rsidR="007D3D49" w:rsidRPr="00635DF7" w14:paraId="42B243FA" w14:textId="77777777" w:rsidTr="006C5EBE">
        <w:trPr>
          <w:trHeight w:val="395"/>
        </w:trPr>
        <w:tc>
          <w:tcPr>
            <w:tcW w:w="990" w:type="dxa"/>
            <w:vMerge w:val="restart"/>
            <w:tcBorders>
              <w:left w:val="nil"/>
              <w:right w:val="nil"/>
            </w:tcBorders>
          </w:tcPr>
          <w:p w14:paraId="032F7FE4" w14:textId="77777777" w:rsidR="007D3D49" w:rsidRPr="00635DF7" w:rsidRDefault="007D3D49" w:rsidP="006C5EBE">
            <w:pPr>
              <w:rPr>
                <w:rFonts w:ascii="Times New Roman" w:hAnsi="Times New Roman" w:cs="Times New Roman"/>
                <w:b/>
                <w:bCs/>
              </w:rPr>
            </w:pPr>
            <w:r w:rsidRPr="00635DF7">
              <w:rPr>
                <w:rFonts w:ascii="Times New Roman" w:hAnsi="Times New Roman" w:cs="Times New Roman"/>
                <w:b/>
                <w:bCs/>
              </w:rPr>
              <w:t>APQ</w:t>
            </w:r>
          </w:p>
        </w:tc>
        <w:tc>
          <w:tcPr>
            <w:tcW w:w="1350" w:type="dxa"/>
            <w:tcBorders>
              <w:left w:val="nil"/>
              <w:bottom w:val="nil"/>
              <w:right w:val="nil"/>
            </w:tcBorders>
          </w:tcPr>
          <w:p w14:paraId="504A0546" w14:textId="77777777" w:rsidR="007D3D49" w:rsidRPr="00635DF7" w:rsidRDefault="007D3D49" w:rsidP="006C5EBE">
            <w:pPr>
              <w:rPr>
                <w:rFonts w:ascii="Times New Roman" w:hAnsi="Times New Roman" w:cs="Times New Roman"/>
              </w:rPr>
            </w:pPr>
            <w:r w:rsidRPr="00635DF7">
              <w:rPr>
                <w:rFonts w:ascii="Times New Roman" w:hAnsi="Times New Roman" w:cs="Times New Roman"/>
              </w:rPr>
              <w:t>Involvement</w:t>
            </w:r>
          </w:p>
          <w:p w14:paraId="42B93828" w14:textId="77777777" w:rsidR="007D3D49" w:rsidRPr="00635DF7" w:rsidRDefault="007D3D49" w:rsidP="006C5EBE">
            <w:pPr>
              <w:rPr>
                <w:rFonts w:ascii="Times New Roman" w:hAnsi="Times New Roman" w:cs="Times New Roman"/>
              </w:rPr>
            </w:pPr>
          </w:p>
          <w:p w14:paraId="56AC2C53" w14:textId="77777777" w:rsidR="007D3D49" w:rsidRPr="00635DF7" w:rsidRDefault="007D3D49" w:rsidP="006C5EBE">
            <w:pPr>
              <w:rPr>
                <w:rFonts w:ascii="Times New Roman" w:hAnsi="Times New Roman" w:cs="Times New Roman"/>
              </w:rPr>
            </w:pPr>
          </w:p>
        </w:tc>
        <w:tc>
          <w:tcPr>
            <w:tcW w:w="1170" w:type="dxa"/>
            <w:tcBorders>
              <w:left w:val="nil"/>
              <w:bottom w:val="nil"/>
              <w:right w:val="nil"/>
            </w:tcBorders>
            <w:hideMark/>
          </w:tcPr>
          <w:p w14:paraId="262D452B"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24.86 (7.80)</w:t>
            </w:r>
          </w:p>
        </w:tc>
        <w:tc>
          <w:tcPr>
            <w:tcW w:w="1508" w:type="dxa"/>
            <w:tcBorders>
              <w:left w:val="nil"/>
              <w:bottom w:val="nil"/>
              <w:right w:val="nil"/>
            </w:tcBorders>
            <w:hideMark/>
          </w:tcPr>
          <w:p w14:paraId="31C3545E"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25.26</w:t>
            </w:r>
          </w:p>
          <w:p w14:paraId="2D887A82"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(7.75)</w:t>
            </w:r>
          </w:p>
        </w:tc>
        <w:tc>
          <w:tcPr>
            <w:tcW w:w="1102" w:type="dxa"/>
            <w:tcBorders>
              <w:left w:val="nil"/>
              <w:bottom w:val="nil"/>
              <w:right w:val="nil"/>
            </w:tcBorders>
            <w:hideMark/>
          </w:tcPr>
          <w:p w14:paraId="67D09754"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23.38</w:t>
            </w:r>
          </w:p>
          <w:p w14:paraId="484A6402"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(8.26)</w:t>
            </w:r>
          </w:p>
        </w:tc>
        <w:tc>
          <w:tcPr>
            <w:tcW w:w="1556" w:type="dxa"/>
            <w:tcBorders>
              <w:left w:val="nil"/>
              <w:bottom w:val="nil"/>
              <w:right w:val="nil"/>
            </w:tcBorders>
            <w:hideMark/>
          </w:tcPr>
          <w:p w14:paraId="68EB692E"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 xml:space="preserve">25.0 </w:t>
            </w:r>
          </w:p>
          <w:p w14:paraId="2A2EFC5A"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(8.58)</w:t>
            </w:r>
          </w:p>
        </w:tc>
        <w:tc>
          <w:tcPr>
            <w:tcW w:w="1170" w:type="dxa"/>
            <w:tcBorders>
              <w:left w:val="nil"/>
              <w:bottom w:val="nil"/>
              <w:right w:val="nil"/>
            </w:tcBorders>
            <w:hideMark/>
          </w:tcPr>
          <w:p w14:paraId="6793DF16"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24.54</w:t>
            </w:r>
          </w:p>
          <w:p w14:paraId="2EE23964"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(8.31)</w:t>
            </w:r>
          </w:p>
        </w:tc>
        <w:tc>
          <w:tcPr>
            <w:tcW w:w="1620" w:type="dxa"/>
            <w:tcBorders>
              <w:left w:val="nil"/>
              <w:bottom w:val="nil"/>
              <w:right w:val="nil"/>
            </w:tcBorders>
            <w:hideMark/>
          </w:tcPr>
          <w:p w14:paraId="37C08878"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 xml:space="preserve">25.40 </w:t>
            </w:r>
          </w:p>
          <w:p w14:paraId="704046F2"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(7.53)</w:t>
            </w:r>
          </w:p>
        </w:tc>
        <w:tc>
          <w:tcPr>
            <w:tcW w:w="1080" w:type="dxa"/>
            <w:tcBorders>
              <w:left w:val="nil"/>
              <w:bottom w:val="nil"/>
              <w:right w:val="nil"/>
            </w:tcBorders>
            <w:hideMark/>
          </w:tcPr>
          <w:p w14:paraId="6CEEAC92"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25.14</w:t>
            </w:r>
          </w:p>
          <w:p w14:paraId="1B5F4438"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(8.70)</w:t>
            </w:r>
          </w:p>
        </w:tc>
        <w:tc>
          <w:tcPr>
            <w:tcW w:w="1530" w:type="dxa"/>
            <w:tcBorders>
              <w:left w:val="nil"/>
              <w:bottom w:val="nil"/>
              <w:right w:val="nil"/>
            </w:tcBorders>
            <w:hideMark/>
          </w:tcPr>
          <w:p w14:paraId="30C8D077"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24.77</w:t>
            </w:r>
          </w:p>
          <w:p w14:paraId="22F240F2"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(7.94)</w:t>
            </w:r>
          </w:p>
        </w:tc>
      </w:tr>
      <w:tr w:rsidR="007D3D49" w:rsidRPr="00635DF7" w14:paraId="3118FCD8" w14:textId="77777777" w:rsidTr="006C5EBE">
        <w:trPr>
          <w:trHeight w:val="143"/>
        </w:trPr>
        <w:tc>
          <w:tcPr>
            <w:tcW w:w="990" w:type="dxa"/>
            <w:vMerge/>
          </w:tcPr>
          <w:p w14:paraId="4BE6B346" w14:textId="77777777" w:rsidR="007D3D49" w:rsidRPr="00635DF7" w:rsidRDefault="007D3D49" w:rsidP="006C5EBE">
            <w:pPr>
              <w:rPr>
                <w:rFonts w:ascii="Times New Roman" w:hAnsi="Times New Roman" w:cs="Times New Roman"/>
              </w:rPr>
            </w:pPr>
          </w:p>
        </w:tc>
        <w:tc>
          <w:tcPr>
            <w:tcW w:w="1350" w:type="dxa"/>
          </w:tcPr>
          <w:p w14:paraId="6C785C05" w14:textId="77777777" w:rsidR="007D3D49" w:rsidRPr="00635DF7" w:rsidRDefault="007D3D49" w:rsidP="006C5EBE">
            <w:pPr>
              <w:rPr>
                <w:rFonts w:ascii="Times New Roman" w:hAnsi="Times New Roman" w:cs="Times New Roman"/>
              </w:rPr>
            </w:pPr>
            <w:r w:rsidRPr="00635DF7">
              <w:rPr>
                <w:rFonts w:ascii="Times New Roman" w:hAnsi="Times New Roman" w:cs="Times New Roman"/>
              </w:rPr>
              <w:t>Positive Parenting</w:t>
            </w:r>
          </w:p>
          <w:p w14:paraId="606F129E" w14:textId="77777777" w:rsidR="007D3D49" w:rsidRPr="00635DF7" w:rsidRDefault="007D3D49" w:rsidP="006C5EBE">
            <w:pPr>
              <w:rPr>
                <w:rFonts w:ascii="Times New Roman" w:hAnsi="Times New Roman" w:cs="Times New Roman"/>
              </w:rPr>
            </w:pPr>
          </w:p>
        </w:tc>
        <w:tc>
          <w:tcPr>
            <w:tcW w:w="1170" w:type="dxa"/>
            <w:hideMark/>
          </w:tcPr>
          <w:p w14:paraId="202A1955"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21.42</w:t>
            </w:r>
          </w:p>
          <w:p w14:paraId="0A1A94DE"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(2.37)</w:t>
            </w:r>
          </w:p>
        </w:tc>
        <w:tc>
          <w:tcPr>
            <w:tcW w:w="1508" w:type="dxa"/>
            <w:hideMark/>
          </w:tcPr>
          <w:p w14:paraId="38CDCAF6"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21.51</w:t>
            </w:r>
          </w:p>
          <w:p w14:paraId="49F00FB1"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(1.91)</w:t>
            </w:r>
          </w:p>
        </w:tc>
        <w:tc>
          <w:tcPr>
            <w:tcW w:w="1102" w:type="dxa"/>
            <w:hideMark/>
          </w:tcPr>
          <w:p w14:paraId="1996C85A"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20.77</w:t>
            </w:r>
          </w:p>
          <w:p w14:paraId="4890F05F"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(3.31)</w:t>
            </w:r>
          </w:p>
        </w:tc>
        <w:tc>
          <w:tcPr>
            <w:tcW w:w="1556" w:type="dxa"/>
            <w:hideMark/>
          </w:tcPr>
          <w:p w14:paraId="7B6257E1"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21.88</w:t>
            </w:r>
          </w:p>
          <w:p w14:paraId="06D25E1C"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(2.07)</w:t>
            </w:r>
          </w:p>
        </w:tc>
        <w:tc>
          <w:tcPr>
            <w:tcW w:w="1170" w:type="dxa"/>
            <w:hideMark/>
          </w:tcPr>
          <w:p w14:paraId="4F7105F4"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21.27</w:t>
            </w:r>
          </w:p>
          <w:p w14:paraId="3DFE3ACE"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(2.34)</w:t>
            </w:r>
          </w:p>
        </w:tc>
        <w:tc>
          <w:tcPr>
            <w:tcW w:w="1620" w:type="dxa"/>
            <w:hideMark/>
          </w:tcPr>
          <w:p w14:paraId="5D22D085"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21.00</w:t>
            </w:r>
          </w:p>
          <w:p w14:paraId="1BA6566F"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(3.22)</w:t>
            </w:r>
          </w:p>
        </w:tc>
        <w:tc>
          <w:tcPr>
            <w:tcW w:w="1080" w:type="dxa"/>
            <w:hideMark/>
          </w:tcPr>
          <w:p w14:paraId="574EAB2D"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21.27</w:t>
            </w:r>
          </w:p>
          <w:p w14:paraId="0009C8CD"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(2.69)</w:t>
            </w:r>
          </w:p>
        </w:tc>
        <w:tc>
          <w:tcPr>
            <w:tcW w:w="1530" w:type="dxa"/>
            <w:hideMark/>
          </w:tcPr>
          <w:p w14:paraId="1268FFB9"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21.69</w:t>
            </w:r>
          </w:p>
          <w:p w14:paraId="612705DE"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(1.79)</w:t>
            </w:r>
          </w:p>
        </w:tc>
      </w:tr>
      <w:tr w:rsidR="007D3D49" w:rsidRPr="00635DF7" w14:paraId="4A5DA7B7" w14:textId="77777777" w:rsidTr="006C5EBE">
        <w:trPr>
          <w:trHeight w:val="143"/>
        </w:trPr>
        <w:tc>
          <w:tcPr>
            <w:tcW w:w="990" w:type="dxa"/>
            <w:vMerge/>
            <w:tcBorders>
              <w:left w:val="nil"/>
              <w:bottom w:val="single" w:sz="4" w:space="0" w:color="auto"/>
              <w:right w:val="nil"/>
            </w:tcBorders>
          </w:tcPr>
          <w:p w14:paraId="26A8C103" w14:textId="77777777" w:rsidR="007D3D49" w:rsidRPr="00635DF7" w:rsidRDefault="007D3D49" w:rsidP="006C5EBE">
            <w:pPr>
              <w:rPr>
                <w:rFonts w:ascii="Times New Roman" w:hAnsi="Times New Roman" w:cs="Times New Roman"/>
              </w:rPr>
            </w:pPr>
          </w:p>
        </w:tc>
        <w:tc>
          <w:tcPr>
            <w:tcW w:w="1350" w:type="dxa"/>
            <w:tcBorders>
              <w:top w:val="nil"/>
              <w:left w:val="nil"/>
              <w:bottom w:val="single" w:sz="4" w:space="0" w:color="auto"/>
              <w:right w:val="nil"/>
            </w:tcBorders>
            <w:hideMark/>
          </w:tcPr>
          <w:p w14:paraId="33016210" w14:textId="77777777" w:rsidR="007D3D49" w:rsidRPr="00635DF7" w:rsidRDefault="007D3D49" w:rsidP="006C5EBE">
            <w:pPr>
              <w:rPr>
                <w:rFonts w:ascii="Times New Roman" w:hAnsi="Times New Roman" w:cs="Times New Roman"/>
              </w:rPr>
            </w:pPr>
            <w:r w:rsidRPr="00635DF7">
              <w:rPr>
                <w:rFonts w:ascii="Times New Roman" w:hAnsi="Times New Roman" w:cs="Times New Roman"/>
              </w:rPr>
              <w:t>Inconsistent Discipline</w:t>
            </w:r>
          </w:p>
        </w:tc>
        <w:tc>
          <w:tcPr>
            <w:tcW w:w="1170" w:type="dxa"/>
            <w:tcBorders>
              <w:top w:val="nil"/>
              <w:left w:val="nil"/>
              <w:bottom w:val="single" w:sz="4" w:space="0" w:color="auto"/>
              <w:right w:val="nil"/>
            </w:tcBorders>
          </w:tcPr>
          <w:p w14:paraId="571BCEB6"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6.76</w:t>
            </w:r>
          </w:p>
          <w:p w14:paraId="60D60038"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(4.03)</w:t>
            </w:r>
          </w:p>
          <w:p w14:paraId="0CD357F6" w14:textId="77777777" w:rsidR="007D3D49" w:rsidRPr="00635DF7" w:rsidRDefault="007D3D49" w:rsidP="006C5EBE">
            <w:pPr>
              <w:jc w:val="center"/>
              <w:rPr>
                <w:rFonts w:ascii="Times New Roman" w:hAnsi="Times New Roman" w:cs="Times New Roman"/>
              </w:rPr>
            </w:pPr>
          </w:p>
        </w:tc>
        <w:tc>
          <w:tcPr>
            <w:tcW w:w="1508" w:type="dxa"/>
            <w:tcBorders>
              <w:top w:val="nil"/>
              <w:left w:val="nil"/>
              <w:bottom w:val="single" w:sz="4" w:space="0" w:color="auto"/>
              <w:right w:val="nil"/>
            </w:tcBorders>
            <w:hideMark/>
          </w:tcPr>
          <w:p w14:paraId="22E23643"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5.74</w:t>
            </w:r>
          </w:p>
          <w:p w14:paraId="5B485D2A"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(3.77)</w:t>
            </w:r>
          </w:p>
        </w:tc>
        <w:tc>
          <w:tcPr>
            <w:tcW w:w="1102" w:type="dxa"/>
            <w:tcBorders>
              <w:top w:val="nil"/>
              <w:left w:val="nil"/>
              <w:bottom w:val="single" w:sz="4" w:space="0" w:color="auto"/>
              <w:right w:val="nil"/>
            </w:tcBorders>
            <w:hideMark/>
          </w:tcPr>
          <w:p w14:paraId="022AF046"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 xml:space="preserve">5.87 </w:t>
            </w:r>
          </w:p>
          <w:p w14:paraId="44506301"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(3.68)</w:t>
            </w:r>
          </w:p>
        </w:tc>
        <w:tc>
          <w:tcPr>
            <w:tcW w:w="1556" w:type="dxa"/>
            <w:tcBorders>
              <w:top w:val="nil"/>
              <w:left w:val="nil"/>
              <w:bottom w:val="single" w:sz="4" w:space="0" w:color="auto"/>
              <w:right w:val="nil"/>
            </w:tcBorders>
            <w:hideMark/>
          </w:tcPr>
          <w:p w14:paraId="5AF2F255"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5.45</w:t>
            </w:r>
          </w:p>
          <w:p w14:paraId="354796F9"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(3.86)</w:t>
            </w:r>
          </w:p>
        </w:tc>
        <w:tc>
          <w:tcPr>
            <w:tcW w:w="1170" w:type="dxa"/>
            <w:tcBorders>
              <w:top w:val="nil"/>
              <w:left w:val="nil"/>
              <w:bottom w:val="single" w:sz="4" w:space="0" w:color="auto"/>
              <w:right w:val="nil"/>
            </w:tcBorders>
            <w:hideMark/>
          </w:tcPr>
          <w:p w14:paraId="16779E1C"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5.62</w:t>
            </w:r>
          </w:p>
          <w:p w14:paraId="05F94EE0"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(3.77)</w:t>
            </w:r>
          </w:p>
        </w:tc>
        <w:tc>
          <w:tcPr>
            <w:tcW w:w="1620" w:type="dxa"/>
            <w:tcBorders>
              <w:top w:val="nil"/>
              <w:left w:val="nil"/>
              <w:bottom w:val="single" w:sz="4" w:space="0" w:color="auto"/>
              <w:right w:val="nil"/>
            </w:tcBorders>
            <w:hideMark/>
          </w:tcPr>
          <w:p w14:paraId="48538B6A"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5.45</w:t>
            </w:r>
          </w:p>
          <w:p w14:paraId="48184982"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(3.59)</w:t>
            </w:r>
          </w:p>
        </w:tc>
        <w:tc>
          <w:tcPr>
            <w:tcW w:w="1080" w:type="dxa"/>
            <w:tcBorders>
              <w:top w:val="nil"/>
              <w:left w:val="nil"/>
              <w:bottom w:val="single" w:sz="4" w:space="0" w:color="auto"/>
              <w:right w:val="nil"/>
            </w:tcBorders>
            <w:hideMark/>
          </w:tcPr>
          <w:p w14:paraId="66C8DE8F"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5.06</w:t>
            </w:r>
          </w:p>
          <w:p w14:paraId="430F0817"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(4.02)</w:t>
            </w:r>
          </w:p>
        </w:tc>
        <w:tc>
          <w:tcPr>
            <w:tcW w:w="1530" w:type="dxa"/>
            <w:tcBorders>
              <w:top w:val="nil"/>
              <w:left w:val="nil"/>
              <w:bottom w:val="single" w:sz="4" w:space="0" w:color="auto"/>
              <w:right w:val="nil"/>
            </w:tcBorders>
            <w:hideMark/>
          </w:tcPr>
          <w:p w14:paraId="32B622AA"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5.11</w:t>
            </w:r>
          </w:p>
          <w:p w14:paraId="105C921A" w14:textId="77777777" w:rsidR="007D3D49" w:rsidRPr="00635DF7" w:rsidRDefault="007D3D49" w:rsidP="006C5EBE">
            <w:pPr>
              <w:jc w:val="center"/>
              <w:rPr>
                <w:rFonts w:ascii="Times New Roman" w:hAnsi="Times New Roman" w:cs="Times New Roman"/>
              </w:rPr>
            </w:pPr>
            <w:r w:rsidRPr="00635DF7">
              <w:rPr>
                <w:rFonts w:ascii="Times New Roman" w:hAnsi="Times New Roman" w:cs="Times New Roman"/>
              </w:rPr>
              <w:t>(3.52)</w:t>
            </w:r>
          </w:p>
        </w:tc>
      </w:tr>
    </w:tbl>
    <w:p w14:paraId="05F80122" w14:textId="77777777" w:rsidR="007D3D49" w:rsidRPr="00635DF7" w:rsidRDefault="007D3D49" w:rsidP="007D3D49">
      <w:pPr>
        <w:spacing w:after="0"/>
        <w:rPr>
          <w:rFonts w:ascii="Times New Roman" w:hAnsi="Times New Roman" w:cs="Times New Roman"/>
        </w:rPr>
      </w:pPr>
      <w:r w:rsidRPr="00635DF7">
        <w:rPr>
          <w:rFonts w:ascii="Times New Roman" w:hAnsi="Times New Roman" w:cs="Times New Roman"/>
          <w:i/>
        </w:rPr>
        <w:t>Note</w:t>
      </w:r>
      <w:r w:rsidRPr="00635DF7">
        <w:rPr>
          <w:rFonts w:ascii="Times New Roman" w:hAnsi="Times New Roman" w:cs="Times New Roman"/>
        </w:rPr>
        <w:t xml:space="preserve">. Sample size for each group reflects the parents that were excluded if their child was under 2 years old, as well as attrition over time. </w:t>
      </w:r>
    </w:p>
    <w:p w14:paraId="16502D2D" w14:textId="77777777" w:rsidR="007D3D49" w:rsidRPr="00635DF7" w:rsidRDefault="007D3D49" w:rsidP="007D3D49">
      <w:pPr>
        <w:spacing w:after="0"/>
        <w:rPr>
          <w:rFonts w:ascii="Times New Roman" w:hAnsi="Times New Roman" w:cs="Times New Roman"/>
        </w:rPr>
      </w:pPr>
      <w:r w:rsidRPr="00635DF7">
        <w:rPr>
          <w:rFonts w:ascii="Times New Roman" w:hAnsi="Times New Roman" w:cs="Times New Roman"/>
          <w:bCs/>
          <w:i/>
          <w:iCs/>
        </w:rPr>
        <w:t>KEY</w:t>
      </w:r>
      <w:r w:rsidRPr="00635DF7">
        <w:rPr>
          <w:rFonts w:ascii="Times New Roman" w:hAnsi="Times New Roman" w:cs="Times New Roman"/>
          <w:bCs/>
        </w:rPr>
        <w:t xml:space="preserve">: </w:t>
      </w:r>
      <w:r w:rsidRPr="00635DF7">
        <w:rPr>
          <w:rFonts w:ascii="Times New Roman" w:hAnsi="Times New Roman" w:cs="Times New Roman"/>
          <w:bCs/>
          <w:i/>
          <w:iCs/>
        </w:rPr>
        <w:t>PAT= Parents as Teachers; AU = As Usual; SPSHK = Smart Parents – Safe and Healthy Kids</w:t>
      </w:r>
    </w:p>
    <w:p w14:paraId="0394024D" w14:textId="77777777" w:rsidR="00572275" w:rsidRPr="00FA50BE" w:rsidRDefault="00572275" w:rsidP="00572275">
      <w:pPr>
        <w:rPr>
          <w:rFonts w:ascii="Times New Roman" w:hAnsi="Times New Roman" w:cs="Times New Roman"/>
        </w:rPr>
      </w:pPr>
    </w:p>
    <w:p w14:paraId="54D61B55" w14:textId="77777777" w:rsidR="00572275" w:rsidRPr="00FA50BE" w:rsidRDefault="00572275" w:rsidP="00572275">
      <w:pPr>
        <w:rPr>
          <w:rFonts w:ascii="Times New Roman" w:hAnsi="Times New Roman" w:cs="Times New Roman"/>
        </w:rPr>
      </w:pPr>
    </w:p>
    <w:p w14:paraId="207D745A" w14:textId="0D6D4A7D" w:rsidR="00572275" w:rsidRPr="00572275" w:rsidRDefault="00572275">
      <w:pPr>
        <w:rPr>
          <w:rFonts w:ascii="Times New Roman" w:hAnsi="Times New Roman" w:cs="Times New Roman"/>
        </w:rPr>
      </w:pPr>
    </w:p>
    <w:sectPr w:rsidR="00572275" w:rsidRPr="00572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3875101"/>
      <w:docPartObj>
        <w:docPartGallery w:val="Page Numbers (Bottom of Page)"/>
        <w:docPartUnique/>
      </w:docPartObj>
    </w:sdtPr>
    <w:sdtEndPr>
      <w:rPr>
        <w:rFonts w:ascii="Times New Roman" w:hAnsi="Times New Roman"/>
        <w:sz w:val="24"/>
      </w:rPr>
    </w:sdtEndPr>
    <w:sdtContent>
      <w:p w14:paraId="5F6877C3" w14:textId="77777777" w:rsidR="00A51941" w:rsidRPr="00E57A1D" w:rsidRDefault="00162CDF">
        <w:pPr>
          <w:pStyle w:val="Footer"/>
          <w:jc w:val="right"/>
          <w:rPr>
            <w:rFonts w:ascii="Times New Roman" w:hAnsi="Times New Roman"/>
            <w:sz w:val="24"/>
          </w:rPr>
        </w:pPr>
        <w:r w:rsidRPr="00E57A1D">
          <w:rPr>
            <w:rFonts w:ascii="Times New Roman" w:hAnsi="Times New Roman"/>
            <w:sz w:val="24"/>
          </w:rPr>
          <w:fldChar w:fldCharType="begin"/>
        </w:r>
        <w:r w:rsidRPr="00C6603F">
          <w:rPr>
            <w:rFonts w:ascii="Times New Roman" w:hAnsi="Times New Roman" w:cs="Times New Roman"/>
            <w:sz w:val="24"/>
            <w:szCs w:val="24"/>
          </w:rPr>
          <w:instrText xml:space="preserve"> PAGE   \* MERGEFORMAT </w:instrText>
        </w:r>
        <w:r w:rsidRPr="00E57A1D">
          <w:rPr>
            <w:rFonts w:ascii="Times New Roman" w:hAnsi="Times New Roman"/>
            <w:sz w:val="24"/>
          </w:rPr>
          <w:fldChar w:fldCharType="separate"/>
        </w:r>
        <w:r>
          <w:rPr>
            <w:rFonts w:ascii="Times New Roman" w:hAnsi="Times New Roman" w:cs="Times New Roman"/>
            <w:noProof/>
            <w:sz w:val="24"/>
            <w:szCs w:val="24"/>
          </w:rPr>
          <w:t>21</w:t>
        </w:r>
        <w:r w:rsidRPr="00E57A1D">
          <w:rPr>
            <w:rFonts w:ascii="Times New Roman" w:hAnsi="Times New Roman"/>
            <w:sz w:val="24"/>
          </w:rPr>
          <w:fldChar w:fldCharType="end"/>
        </w:r>
      </w:p>
    </w:sdtContent>
  </w:sdt>
  <w:p w14:paraId="45C77025" w14:textId="77777777" w:rsidR="00A51941" w:rsidRDefault="00162CD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A2056" w14:textId="77777777" w:rsidR="00A51941" w:rsidRPr="009A1165" w:rsidRDefault="00162CDF">
    <w:pPr>
      <w:pStyle w:val="Header"/>
    </w:pPr>
    <w:r w:rsidRPr="009A1165">
      <w:rPr>
        <w:rFonts w:ascii="Times New Roman" w:hAnsi="Times New Roman" w:cs="Times New Roman"/>
      </w:rPr>
      <w:t>PARENT-FOCUSED SEXUAL ABUSE PREVENTION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80B75"/>
    <w:multiLevelType w:val="hybridMultilevel"/>
    <w:tmpl w:val="693473CC"/>
    <w:lvl w:ilvl="0" w:tplc="F030008E">
      <w:start w:val="1"/>
      <w:numFmt w:val="bullet"/>
      <w:lvlText w:val=""/>
      <w:lvlJc w:val="left"/>
      <w:pPr>
        <w:tabs>
          <w:tab w:val="num" w:pos="720"/>
        </w:tabs>
        <w:ind w:left="720" w:hanging="360"/>
      </w:pPr>
      <w:rPr>
        <w:rFonts w:ascii="Wingdings" w:hAnsi="Wingdings" w:hint="default"/>
      </w:rPr>
    </w:lvl>
    <w:lvl w:ilvl="1" w:tplc="B4F6E40A">
      <w:start w:val="302"/>
      <w:numFmt w:val="bullet"/>
      <w:lvlText w:val="o"/>
      <w:lvlJc w:val="left"/>
      <w:pPr>
        <w:tabs>
          <w:tab w:val="num" w:pos="1440"/>
        </w:tabs>
        <w:ind w:left="1440" w:hanging="360"/>
      </w:pPr>
      <w:rPr>
        <w:rFonts w:ascii="Courier New" w:hAnsi="Courier New" w:hint="default"/>
      </w:rPr>
    </w:lvl>
    <w:lvl w:ilvl="2" w:tplc="10443F4E" w:tentative="1">
      <w:start w:val="1"/>
      <w:numFmt w:val="bullet"/>
      <w:lvlText w:val=""/>
      <w:lvlJc w:val="left"/>
      <w:pPr>
        <w:tabs>
          <w:tab w:val="num" w:pos="2160"/>
        </w:tabs>
        <w:ind w:left="2160" w:hanging="360"/>
      </w:pPr>
      <w:rPr>
        <w:rFonts w:ascii="Wingdings" w:hAnsi="Wingdings" w:hint="default"/>
      </w:rPr>
    </w:lvl>
    <w:lvl w:ilvl="3" w:tplc="F24A885E" w:tentative="1">
      <w:start w:val="1"/>
      <w:numFmt w:val="bullet"/>
      <w:lvlText w:val=""/>
      <w:lvlJc w:val="left"/>
      <w:pPr>
        <w:tabs>
          <w:tab w:val="num" w:pos="2880"/>
        </w:tabs>
        <w:ind w:left="2880" w:hanging="360"/>
      </w:pPr>
      <w:rPr>
        <w:rFonts w:ascii="Wingdings" w:hAnsi="Wingdings" w:hint="default"/>
      </w:rPr>
    </w:lvl>
    <w:lvl w:ilvl="4" w:tplc="21C4B54E" w:tentative="1">
      <w:start w:val="1"/>
      <w:numFmt w:val="bullet"/>
      <w:lvlText w:val=""/>
      <w:lvlJc w:val="left"/>
      <w:pPr>
        <w:tabs>
          <w:tab w:val="num" w:pos="3600"/>
        </w:tabs>
        <w:ind w:left="3600" w:hanging="360"/>
      </w:pPr>
      <w:rPr>
        <w:rFonts w:ascii="Wingdings" w:hAnsi="Wingdings" w:hint="default"/>
      </w:rPr>
    </w:lvl>
    <w:lvl w:ilvl="5" w:tplc="0CF0D5A8" w:tentative="1">
      <w:start w:val="1"/>
      <w:numFmt w:val="bullet"/>
      <w:lvlText w:val=""/>
      <w:lvlJc w:val="left"/>
      <w:pPr>
        <w:tabs>
          <w:tab w:val="num" w:pos="4320"/>
        </w:tabs>
        <w:ind w:left="4320" w:hanging="360"/>
      </w:pPr>
      <w:rPr>
        <w:rFonts w:ascii="Wingdings" w:hAnsi="Wingdings" w:hint="default"/>
      </w:rPr>
    </w:lvl>
    <w:lvl w:ilvl="6" w:tplc="11E831AA" w:tentative="1">
      <w:start w:val="1"/>
      <w:numFmt w:val="bullet"/>
      <w:lvlText w:val=""/>
      <w:lvlJc w:val="left"/>
      <w:pPr>
        <w:tabs>
          <w:tab w:val="num" w:pos="5040"/>
        </w:tabs>
        <w:ind w:left="5040" w:hanging="360"/>
      </w:pPr>
      <w:rPr>
        <w:rFonts w:ascii="Wingdings" w:hAnsi="Wingdings" w:hint="default"/>
      </w:rPr>
    </w:lvl>
    <w:lvl w:ilvl="7" w:tplc="D11E2CAA" w:tentative="1">
      <w:start w:val="1"/>
      <w:numFmt w:val="bullet"/>
      <w:lvlText w:val=""/>
      <w:lvlJc w:val="left"/>
      <w:pPr>
        <w:tabs>
          <w:tab w:val="num" w:pos="5760"/>
        </w:tabs>
        <w:ind w:left="5760" w:hanging="360"/>
      </w:pPr>
      <w:rPr>
        <w:rFonts w:ascii="Wingdings" w:hAnsi="Wingdings" w:hint="default"/>
      </w:rPr>
    </w:lvl>
    <w:lvl w:ilvl="8" w:tplc="E614523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0A4736"/>
    <w:multiLevelType w:val="hybridMultilevel"/>
    <w:tmpl w:val="07605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76F42"/>
    <w:multiLevelType w:val="hybridMultilevel"/>
    <w:tmpl w:val="FEEEA2BA"/>
    <w:lvl w:ilvl="0" w:tplc="52D2BC98">
      <w:start w:val="1"/>
      <w:numFmt w:val="bullet"/>
      <w:lvlText w:val=""/>
      <w:lvlJc w:val="left"/>
      <w:pPr>
        <w:tabs>
          <w:tab w:val="num" w:pos="720"/>
        </w:tabs>
        <w:ind w:left="720" w:hanging="360"/>
      </w:pPr>
      <w:rPr>
        <w:rFonts w:ascii="Wingdings" w:hAnsi="Wingdings" w:hint="default"/>
      </w:rPr>
    </w:lvl>
    <w:lvl w:ilvl="1" w:tplc="CD6A0A9A">
      <w:start w:val="302"/>
      <w:numFmt w:val="bullet"/>
      <w:lvlText w:val="o"/>
      <w:lvlJc w:val="left"/>
      <w:pPr>
        <w:tabs>
          <w:tab w:val="num" w:pos="1440"/>
        </w:tabs>
        <w:ind w:left="1440" w:hanging="360"/>
      </w:pPr>
      <w:rPr>
        <w:rFonts w:ascii="Courier New" w:hAnsi="Courier New" w:hint="default"/>
      </w:rPr>
    </w:lvl>
    <w:lvl w:ilvl="2" w:tplc="268639FE" w:tentative="1">
      <w:start w:val="1"/>
      <w:numFmt w:val="bullet"/>
      <w:lvlText w:val=""/>
      <w:lvlJc w:val="left"/>
      <w:pPr>
        <w:tabs>
          <w:tab w:val="num" w:pos="2160"/>
        </w:tabs>
        <w:ind w:left="2160" w:hanging="360"/>
      </w:pPr>
      <w:rPr>
        <w:rFonts w:ascii="Wingdings" w:hAnsi="Wingdings" w:hint="default"/>
      </w:rPr>
    </w:lvl>
    <w:lvl w:ilvl="3" w:tplc="24DC831E" w:tentative="1">
      <w:start w:val="1"/>
      <w:numFmt w:val="bullet"/>
      <w:lvlText w:val=""/>
      <w:lvlJc w:val="left"/>
      <w:pPr>
        <w:tabs>
          <w:tab w:val="num" w:pos="2880"/>
        </w:tabs>
        <w:ind w:left="2880" w:hanging="360"/>
      </w:pPr>
      <w:rPr>
        <w:rFonts w:ascii="Wingdings" w:hAnsi="Wingdings" w:hint="default"/>
      </w:rPr>
    </w:lvl>
    <w:lvl w:ilvl="4" w:tplc="7B0E32D6" w:tentative="1">
      <w:start w:val="1"/>
      <w:numFmt w:val="bullet"/>
      <w:lvlText w:val=""/>
      <w:lvlJc w:val="left"/>
      <w:pPr>
        <w:tabs>
          <w:tab w:val="num" w:pos="3600"/>
        </w:tabs>
        <w:ind w:left="3600" w:hanging="360"/>
      </w:pPr>
      <w:rPr>
        <w:rFonts w:ascii="Wingdings" w:hAnsi="Wingdings" w:hint="default"/>
      </w:rPr>
    </w:lvl>
    <w:lvl w:ilvl="5" w:tplc="BF385E78" w:tentative="1">
      <w:start w:val="1"/>
      <w:numFmt w:val="bullet"/>
      <w:lvlText w:val=""/>
      <w:lvlJc w:val="left"/>
      <w:pPr>
        <w:tabs>
          <w:tab w:val="num" w:pos="4320"/>
        </w:tabs>
        <w:ind w:left="4320" w:hanging="360"/>
      </w:pPr>
      <w:rPr>
        <w:rFonts w:ascii="Wingdings" w:hAnsi="Wingdings" w:hint="default"/>
      </w:rPr>
    </w:lvl>
    <w:lvl w:ilvl="6" w:tplc="B1A6B622" w:tentative="1">
      <w:start w:val="1"/>
      <w:numFmt w:val="bullet"/>
      <w:lvlText w:val=""/>
      <w:lvlJc w:val="left"/>
      <w:pPr>
        <w:tabs>
          <w:tab w:val="num" w:pos="5040"/>
        </w:tabs>
        <w:ind w:left="5040" w:hanging="360"/>
      </w:pPr>
      <w:rPr>
        <w:rFonts w:ascii="Wingdings" w:hAnsi="Wingdings" w:hint="default"/>
      </w:rPr>
    </w:lvl>
    <w:lvl w:ilvl="7" w:tplc="D73803D2" w:tentative="1">
      <w:start w:val="1"/>
      <w:numFmt w:val="bullet"/>
      <w:lvlText w:val=""/>
      <w:lvlJc w:val="left"/>
      <w:pPr>
        <w:tabs>
          <w:tab w:val="num" w:pos="5760"/>
        </w:tabs>
        <w:ind w:left="5760" w:hanging="360"/>
      </w:pPr>
      <w:rPr>
        <w:rFonts w:ascii="Wingdings" w:hAnsi="Wingdings" w:hint="default"/>
      </w:rPr>
    </w:lvl>
    <w:lvl w:ilvl="8" w:tplc="0A42091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66476B"/>
    <w:multiLevelType w:val="hybridMultilevel"/>
    <w:tmpl w:val="3BE078A0"/>
    <w:lvl w:ilvl="0" w:tplc="0ED0C61C">
      <w:start w:val="1"/>
      <w:numFmt w:val="bullet"/>
      <w:lvlText w:val=""/>
      <w:lvlJc w:val="left"/>
      <w:pPr>
        <w:tabs>
          <w:tab w:val="num" w:pos="720"/>
        </w:tabs>
        <w:ind w:left="720" w:hanging="360"/>
      </w:pPr>
      <w:rPr>
        <w:rFonts w:ascii="Wingdings" w:hAnsi="Wingdings" w:hint="default"/>
      </w:rPr>
    </w:lvl>
    <w:lvl w:ilvl="1" w:tplc="AB148CD6" w:tentative="1">
      <w:start w:val="1"/>
      <w:numFmt w:val="bullet"/>
      <w:lvlText w:val=""/>
      <w:lvlJc w:val="left"/>
      <w:pPr>
        <w:tabs>
          <w:tab w:val="num" w:pos="1440"/>
        </w:tabs>
        <w:ind w:left="1440" w:hanging="360"/>
      </w:pPr>
      <w:rPr>
        <w:rFonts w:ascii="Wingdings" w:hAnsi="Wingdings" w:hint="default"/>
      </w:rPr>
    </w:lvl>
    <w:lvl w:ilvl="2" w:tplc="73806B06" w:tentative="1">
      <w:start w:val="1"/>
      <w:numFmt w:val="bullet"/>
      <w:lvlText w:val=""/>
      <w:lvlJc w:val="left"/>
      <w:pPr>
        <w:tabs>
          <w:tab w:val="num" w:pos="2160"/>
        </w:tabs>
        <w:ind w:left="2160" w:hanging="360"/>
      </w:pPr>
      <w:rPr>
        <w:rFonts w:ascii="Wingdings" w:hAnsi="Wingdings" w:hint="default"/>
      </w:rPr>
    </w:lvl>
    <w:lvl w:ilvl="3" w:tplc="4CD268F8" w:tentative="1">
      <w:start w:val="1"/>
      <w:numFmt w:val="bullet"/>
      <w:lvlText w:val=""/>
      <w:lvlJc w:val="left"/>
      <w:pPr>
        <w:tabs>
          <w:tab w:val="num" w:pos="2880"/>
        </w:tabs>
        <w:ind w:left="2880" w:hanging="360"/>
      </w:pPr>
      <w:rPr>
        <w:rFonts w:ascii="Wingdings" w:hAnsi="Wingdings" w:hint="default"/>
      </w:rPr>
    </w:lvl>
    <w:lvl w:ilvl="4" w:tplc="55367F9C" w:tentative="1">
      <w:start w:val="1"/>
      <w:numFmt w:val="bullet"/>
      <w:lvlText w:val=""/>
      <w:lvlJc w:val="left"/>
      <w:pPr>
        <w:tabs>
          <w:tab w:val="num" w:pos="3600"/>
        </w:tabs>
        <w:ind w:left="3600" w:hanging="360"/>
      </w:pPr>
      <w:rPr>
        <w:rFonts w:ascii="Wingdings" w:hAnsi="Wingdings" w:hint="default"/>
      </w:rPr>
    </w:lvl>
    <w:lvl w:ilvl="5" w:tplc="18606666" w:tentative="1">
      <w:start w:val="1"/>
      <w:numFmt w:val="bullet"/>
      <w:lvlText w:val=""/>
      <w:lvlJc w:val="left"/>
      <w:pPr>
        <w:tabs>
          <w:tab w:val="num" w:pos="4320"/>
        </w:tabs>
        <w:ind w:left="4320" w:hanging="360"/>
      </w:pPr>
      <w:rPr>
        <w:rFonts w:ascii="Wingdings" w:hAnsi="Wingdings" w:hint="default"/>
      </w:rPr>
    </w:lvl>
    <w:lvl w:ilvl="6" w:tplc="AE0A20F8" w:tentative="1">
      <w:start w:val="1"/>
      <w:numFmt w:val="bullet"/>
      <w:lvlText w:val=""/>
      <w:lvlJc w:val="left"/>
      <w:pPr>
        <w:tabs>
          <w:tab w:val="num" w:pos="5040"/>
        </w:tabs>
        <w:ind w:left="5040" w:hanging="360"/>
      </w:pPr>
      <w:rPr>
        <w:rFonts w:ascii="Wingdings" w:hAnsi="Wingdings" w:hint="default"/>
      </w:rPr>
    </w:lvl>
    <w:lvl w:ilvl="7" w:tplc="3F90D42C" w:tentative="1">
      <w:start w:val="1"/>
      <w:numFmt w:val="bullet"/>
      <w:lvlText w:val=""/>
      <w:lvlJc w:val="left"/>
      <w:pPr>
        <w:tabs>
          <w:tab w:val="num" w:pos="5760"/>
        </w:tabs>
        <w:ind w:left="5760" w:hanging="360"/>
      </w:pPr>
      <w:rPr>
        <w:rFonts w:ascii="Wingdings" w:hAnsi="Wingdings" w:hint="default"/>
      </w:rPr>
    </w:lvl>
    <w:lvl w:ilvl="8" w:tplc="2402EBC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0C3B7D"/>
    <w:multiLevelType w:val="hybridMultilevel"/>
    <w:tmpl w:val="D812D58C"/>
    <w:lvl w:ilvl="0" w:tplc="F416AB5A">
      <w:start w:val="1"/>
      <w:numFmt w:val="bullet"/>
      <w:lvlText w:val=""/>
      <w:lvlJc w:val="left"/>
      <w:pPr>
        <w:tabs>
          <w:tab w:val="num" w:pos="720"/>
        </w:tabs>
        <w:ind w:left="720" w:hanging="360"/>
      </w:pPr>
      <w:rPr>
        <w:rFonts w:ascii="Wingdings" w:hAnsi="Wingdings" w:hint="default"/>
      </w:rPr>
    </w:lvl>
    <w:lvl w:ilvl="1" w:tplc="274622AA">
      <w:start w:val="302"/>
      <w:numFmt w:val="bullet"/>
      <w:lvlText w:val="o"/>
      <w:lvlJc w:val="left"/>
      <w:pPr>
        <w:tabs>
          <w:tab w:val="num" w:pos="1440"/>
        </w:tabs>
        <w:ind w:left="1440" w:hanging="360"/>
      </w:pPr>
      <w:rPr>
        <w:rFonts w:ascii="Courier New" w:hAnsi="Courier New" w:hint="default"/>
      </w:rPr>
    </w:lvl>
    <w:lvl w:ilvl="2" w:tplc="53EAC79C" w:tentative="1">
      <w:start w:val="1"/>
      <w:numFmt w:val="bullet"/>
      <w:lvlText w:val=""/>
      <w:lvlJc w:val="left"/>
      <w:pPr>
        <w:tabs>
          <w:tab w:val="num" w:pos="2160"/>
        </w:tabs>
        <w:ind w:left="2160" w:hanging="360"/>
      </w:pPr>
      <w:rPr>
        <w:rFonts w:ascii="Wingdings" w:hAnsi="Wingdings" w:hint="default"/>
      </w:rPr>
    </w:lvl>
    <w:lvl w:ilvl="3" w:tplc="5F92F2CA" w:tentative="1">
      <w:start w:val="1"/>
      <w:numFmt w:val="bullet"/>
      <w:lvlText w:val=""/>
      <w:lvlJc w:val="left"/>
      <w:pPr>
        <w:tabs>
          <w:tab w:val="num" w:pos="2880"/>
        </w:tabs>
        <w:ind w:left="2880" w:hanging="360"/>
      </w:pPr>
      <w:rPr>
        <w:rFonts w:ascii="Wingdings" w:hAnsi="Wingdings" w:hint="default"/>
      </w:rPr>
    </w:lvl>
    <w:lvl w:ilvl="4" w:tplc="BD18BCB8" w:tentative="1">
      <w:start w:val="1"/>
      <w:numFmt w:val="bullet"/>
      <w:lvlText w:val=""/>
      <w:lvlJc w:val="left"/>
      <w:pPr>
        <w:tabs>
          <w:tab w:val="num" w:pos="3600"/>
        </w:tabs>
        <w:ind w:left="3600" w:hanging="360"/>
      </w:pPr>
      <w:rPr>
        <w:rFonts w:ascii="Wingdings" w:hAnsi="Wingdings" w:hint="default"/>
      </w:rPr>
    </w:lvl>
    <w:lvl w:ilvl="5" w:tplc="61CA0B74" w:tentative="1">
      <w:start w:val="1"/>
      <w:numFmt w:val="bullet"/>
      <w:lvlText w:val=""/>
      <w:lvlJc w:val="left"/>
      <w:pPr>
        <w:tabs>
          <w:tab w:val="num" w:pos="4320"/>
        </w:tabs>
        <w:ind w:left="4320" w:hanging="360"/>
      </w:pPr>
      <w:rPr>
        <w:rFonts w:ascii="Wingdings" w:hAnsi="Wingdings" w:hint="default"/>
      </w:rPr>
    </w:lvl>
    <w:lvl w:ilvl="6" w:tplc="A8FECC6E" w:tentative="1">
      <w:start w:val="1"/>
      <w:numFmt w:val="bullet"/>
      <w:lvlText w:val=""/>
      <w:lvlJc w:val="left"/>
      <w:pPr>
        <w:tabs>
          <w:tab w:val="num" w:pos="5040"/>
        </w:tabs>
        <w:ind w:left="5040" w:hanging="360"/>
      </w:pPr>
      <w:rPr>
        <w:rFonts w:ascii="Wingdings" w:hAnsi="Wingdings" w:hint="default"/>
      </w:rPr>
    </w:lvl>
    <w:lvl w:ilvl="7" w:tplc="3C98EB38" w:tentative="1">
      <w:start w:val="1"/>
      <w:numFmt w:val="bullet"/>
      <w:lvlText w:val=""/>
      <w:lvlJc w:val="left"/>
      <w:pPr>
        <w:tabs>
          <w:tab w:val="num" w:pos="5760"/>
        </w:tabs>
        <w:ind w:left="5760" w:hanging="360"/>
      </w:pPr>
      <w:rPr>
        <w:rFonts w:ascii="Wingdings" w:hAnsi="Wingdings" w:hint="default"/>
      </w:rPr>
    </w:lvl>
    <w:lvl w:ilvl="8" w:tplc="6082ED6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664F7A"/>
    <w:multiLevelType w:val="hybridMultilevel"/>
    <w:tmpl w:val="7B2CA65A"/>
    <w:lvl w:ilvl="0" w:tplc="3402970C">
      <w:start w:val="1"/>
      <w:numFmt w:val="bullet"/>
      <w:lvlText w:val=""/>
      <w:lvlJc w:val="left"/>
      <w:pPr>
        <w:tabs>
          <w:tab w:val="num" w:pos="720"/>
        </w:tabs>
        <w:ind w:left="720" w:hanging="360"/>
      </w:pPr>
      <w:rPr>
        <w:rFonts w:ascii="Wingdings" w:hAnsi="Wingdings" w:hint="default"/>
      </w:rPr>
    </w:lvl>
    <w:lvl w:ilvl="1" w:tplc="0DB4003C">
      <w:start w:val="302"/>
      <w:numFmt w:val="bullet"/>
      <w:lvlText w:val="o"/>
      <w:lvlJc w:val="left"/>
      <w:pPr>
        <w:tabs>
          <w:tab w:val="num" w:pos="1440"/>
        </w:tabs>
        <w:ind w:left="1440" w:hanging="360"/>
      </w:pPr>
      <w:rPr>
        <w:rFonts w:ascii="Courier New" w:hAnsi="Courier New" w:hint="default"/>
      </w:rPr>
    </w:lvl>
    <w:lvl w:ilvl="2" w:tplc="71DA5198" w:tentative="1">
      <w:start w:val="1"/>
      <w:numFmt w:val="bullet"/>
      <w:lvlText w:val=""/>
      <w:lvlJc w:val="left"/>
      <w:pPr>
        <w:tabs>
          <w:tab w:val="num" w:pos="2160"/>
        </w:tabs>
        <w:ind w:left="2160" w:hanging="360"/>
      </w:pPr>
      <w:rPr>
        <w:rFonts w:ascii="Wingdings" w:hAnsi="Wingdings" w:hint="default"/>
      </w:rPr>
    </w:lvl>
    <w:lvl w:ilvl="3" w:tplc="A2CCF85C" w:tentative="1">
      <w:start w:val="1"/>
      <w:numFmt w:val="bullet"/>
      <w:lvlText w:val=""/>
      <w:lvlJc w:val="left"/>
      <w:pPr>
        <w:tabs>
          <w:tab w:val="num" w:pos="2880"/>
        </w:tabs>
        <w:ind w:left="2880" w:hanging="360"/>
      </w:pPr>
      <w:rPr>
        <w:rFonts w:ascii="Wingdings" w:hAnsi="Wingdings" w:hint="default"/>
      </w:rPr>
    </w:lvl>
    <w:lvl w:ilvl="4" w:tplc="9A4CD816" w:tentative="1">
      <w:start w:val="1"/>
      <w:numFmt w:val="bullet"/>
      <w:lvlText w:val=""/>
      <w:lvlJc w:val="left"/>
      <w:pPr>
        <w:tabs>
          <w:tab w:val="num" w:pos="3600"/>
        </w:tabs>
        <w:ind w:left="3600" w:hanging="360"/>
      </w:pPr>
      <w:rPr>
        <w:rFonts w:ascii="Wingdings" w:hAnsi="Wingdings" w:hint="default"/>
      </w:rPr>
    </w:lvl>
    <w:lvl w:ilvl="5" w:tplc="6A0CE570" w:tentative="1">
      <w:start w:val="1"/>
      <w:numFmt w:val="bullet"/>
      <w:lvlText w:val=""/>
      <w:lvlJc w:val="left"/>
      <w:pPr>
        <w:tabs>
          <w:tab w:val="num" w:pos="4320"/>
        </w:tabs>
        <w:ind w:left="4320" w:hanging="360"/>
      </w:pPr>
      <w:rPr>
        <w:rFonts w:ascii="Wingdings" w:hAnsi="Wingdings" w:hint="default"/>
      </w:rPr>
    </w:lvl>
    <w:lvl w:ilvl="6" w:tplc="7FE0399A" w:tentative="1">
      <w:start w:val="1"/>
      <w:numFmt w:val="bullet"/>
      <w:lvlText w:val=""/>
      <w:lvlJc w:val="left"/>
      <w:pPr>
        <w:tabs>
          <w:tab w:val="num" w:pos="5040"/>
        </w:tabs>
        <w:ind w:left="5040" w:hanging="360"/>
      </w:pPr>
      <w:rPr>
        <w:rFonts w:ascii="Wingdings" w:hAnsi="Wingdings" w:hint="default"/>
      </w:rPr>
    </w:lvl>
    <w:lvl w:ilvl="7" w:tplc="149047D0" w:tentative="1">
      <w:start w:val="1"/>
      <w:numFmt w:val="bullet"/>
      <w:lvlText w:val=""/>
      <w:lvlJc w:val="left"/>
      <w:pPr>
        <w:tabs>
          <w:tab w:val="num" w:pos="5760"/>
        </w:tabs>
        <w:ind w:left="5760" w:hanging="360"/>
      </w:pPr>
      <w:rPr>
        <w:rFonts w:ascii="Wingdings" w:hAnsi="Wingdings" w:hint="default"/>
      </w:rPr>
    </w:lvl>
    <w:lvl w:ilvl="8" w:tplc="7DA23E7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463D23"/>
    <w:multiLevelType w:val="hybridMultilevel"/>
    <w:tmpl w:val="EB7EC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8A73E7"/>
    <w:multiLevelType w:val="hybridMultilevel"/>
    <w:tmpl w:val="75E0B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D57087"/>
    <w:multiLevelType w:val="hybridMultilevel"/>
    <w:tmpl w:val="C80E4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FB22C9"/>
    <w:multiLevelType w:val="hybridMultilevel"/>
    <w:tmpl w:val="5D60B8D4"/>
    <w:lvl w:ilvl="0" w:tplc="313E85AA">
      <w:start w:val="1"/>
      <w:numFmt w:val="bullet"/>
      <w:lvlText w:val=""/>
      <w:lvlJc w:val="left"/>
      <w:pPr>
        <w:tabs>
          <w:tab w:val="num" w:pos="720"/>
        </w:tabs>
        <w:ind w:left="720" w:hanging="360"/>
      </w:pPr>
      <w:rPr>
        <w:rFonts w:ascii="Wingdings" w:hAnsi="Wingdings" w:hint="default"/>
      </w:rPr>
    </w:lvl>
    <w:lvl w:ilvl="1" w:tplc="3F0C0DB2">
      <w:start w:val="302"/>
      <w:numFmt w:val="bullet"/>
      <w:lvlText w:val="o"/>
      <w:lvlJc w:val="left"/>
      <w:pPr>
        <w:tabs>
          <w:tab w:val="num" w:pos="1440"/>
        </w:tabs>
        <w:ind w:left="1440" w:hanging="360"/>
      </w:pPr>
      <w:rPr>
        <w:rFonts w:ascii="Courier New" w:hAnsi="Courier New" w:hint="default"/>
      </w:rPr>
    </w:lvl>
    <w:lvl w:ilvl="2" w:tplc="D7FC61EC" w:tentative="1">
      <w:start w:val="1"/>
      <w:numFmt w:val="bullet"/>
      <w:lvlText w:val=""/>
      <w:lvlJc w:val="left"/>
      <w:pPr>
        <w:tabs>
          <w:tab w:val="num" w:pos="2160"/>
        </w:tabs>
        <w:ind w:left="2160" w:hanging="360"/>
      </w:pPr>
      <w:rPr>
        <w:rFonts w:ascii="Wingdings" w:hAnsi="Wingdings" w:hint="default"/>
      </w:rPr>
    </w:lvl>
    <w:lvl w:ilvl="3" w:tplc="02E8B796" w:tentative="1">
      <w:start w:val="1"/>
      <w:numFmt w:val="bullet"/>
      <w:lvlText w:val=""/>
      <w:lvlJc w:val="left"/>
      <w:pPr>
        <w:tabs>
          <w:tab w:val="num" w:pos="2880"/>
        </w:tabs>
        <w:ind w:left="2880" w:hanging="360"/>
      </w:pPr>
      <w:rPr>
        <w:rFonts w:ascii="Wingdings" w:hAnsi="Wingdings" w:hint="default"/>
      </w:rPr>
    </w:lvl>
    <w:lvl w:ilvl="4" w:tplc="82CC57FC" w:tentative="1">
      <w:start w:val="1"/>
      <w:numFmt w:val="bullet"/>
      <w:lvlText w:val=""/>
      <w:lvlJc w:val="left"/>
      <w:pPr>
        <w:tabs>
          <w:tab w:val="num" w:pos="3600"/>
        </w:tabs>
        <w:ind w:left="3600" w:hanging="360"/>
      </w:pPr>
      <w:rPr>
        <w:rFonts w:ascii="Wingdings" w:hAnsi="Wingdings" w:hint="default"/>
      </w:rPr>
    </w:lvl>
    <w:lvl w:ilvl="5" w:tplc="B4BE5B1A" w:tentative="1">
      <w:start w:val="1"/>
      <w:numFmt w:val="bullet"/>
      <w:lvlText w:val=""/>
      <w:lvlJc w:val="left"/>
      <w:pPr>
        <w:tabs>
          <w:tab w:val="num" w:pos="4320"/>
        </w:tabs>
        <w:ind w:left="4320" w:hanging="360"/>
      </w:pPr>
      <w:rPr>
        <w:rFonts w:ascii="Wingdings" w:hAnsi="Wingdings" w:hint="default"/>
      </w:rPr>
    </w:lvl>
    <w:lvl w:ilvl="6" w:tplc="75B88962" w:tentative="1">
      <w:start w:val="1"/>
      <w:numFmt w:val="bullet"/>
      <w:lvlText w:val=""/>
      <w:lvlJc w:val="left"/>
      <w:pPr>
        <w:tabs>
          <w:tab w:val="num" w:pos="5040"/>
        </w:tabs>
        <w:ind w:left="5040" w:hanging="360"/>
      </w:pPr>
      <w:rPr>
        <w:rFonts w:ascii="Wingdings" w:hAnsi="Wingdings" w:hint="default"/>
      </w:rPr>
    </w:lvl>
    <w:lvl w:ilvl="7" w:tplc="E6D4F6AE" w:tentative="1">
      <w:start w:val="1"/>
      <w:numFmt w:val="bullet"/>
      <w:lvlText w:val=""/>
      <w:lvlJc w:val="left"/>
      <w:pPr>
        <w:tabs>
          <w:tab w:val="num" w:pos="5760"/>
        </w:tabs>
        <w:ind w:left="5760" w:hanging="360"/>
      </w:pPr>
      <w:rPr>
        <w:rFonts w:ascii="Wingdings" w:hAnsi="Wingdings" w:hint="default"/>
      </w:rPr>
    </w:lvl>
    <w:lvl w:ilvl="8" w:tplc="2E942A2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9"/>
  </w:num>
  <w:num w:numId="5">
    <w:abstractNumId w:val="2"/>
  </w:num>
  <w:num w:numId="6">
    <w:abstractNumId w:val="4"/>
  </w:num>
  <w:num w:numId="7">
    <w:abstractNumId w:val="0"/>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275"/>
    <w:rsid w:val="00162CDF"/>
    <w:rsid w:val="00572275"/>
    <w:rsid w:val="006616AD"/>
    <w:rsid w:val="007D3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81831"/>
  <w15:chartTrackingRefBased/>
  <w15:docId w15:val="{7FB15222-2C67-475D-88A5-39AC56360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2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D3D49"/>
    <w:rPr>
      <w:sz w:val="16"/>
      <w:szCs w:val="16"/>
    </w:rPr>
  </w:style>
  <w:style w:type="paragraph" w:styleId="CommentText">
    <w:name w:val="annotation text"/>
    <w:basedOn w:val="Normal"/>
    <w:link w:val="CommentTextChar"/>
    <w:uiPriority w:val="99"/>
    <w:unhideWhenUsed/>
    <w:rsid w:val="007D3D49"/>
    <w:pPr>
      <w:spacing w:line="240" w:lineRule="auto"/>
    </w:pPr>
    <w:rPr>
      <w:sz w:val="20"/>
      <w:szCs w:val="20"/>
    </w:rPr>
  </w:style>
  <w:style w:type="character" w:customStyle="1" w:styleId="CommentTextChar">
    <w:name w:val="Comment Text Char"/>
    <w:basedOn w:val="DefaultParagraphFont"/>
    <w:link w:val="CommentText"/>
    <w:uiPriority w:val="99"/>
    <w:rsid w:val="007D3D49"/>
    <w:rPr>
      <w:sz w:val="20"/>
      <w:szCs w:val="20"/>
    </w:rPr>
  </w:style>
  <w:style w:type="paragraph" w:styleId="BalloonText">
    <w:name w:val="Balloon Text"/>
    <w:basedOn w:val="Normal"/>
    <w:link w:val="BalloonTextChar"/>
    <w:uiPriority w:val="99"/>
    <w:semiHidden/>
    <w:unhideWhenUsed/>
    <w:rsid w:val="007D3D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D4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D3D49"/>
    <w:rPr>
      <w:b/>
      <w:bCs/>
    </w:rPr>
  </w:style>
  <w:style w:type="character" w:customStyle="1" w:styleId="CommentSubjectChar">
    <w:name w:val="Comment Subject Char"/>
    <w:basedOn w:val="CommentTextChar"/>
    <w:link w:val="CommentSubject"/>
    <w:uiPriority w:val="99"/>
    <w:semiHidden/>
    <w:rsid w:val="007D3D49"/>
    <w:rPr>
      <w:b/>
      <w:bCs/>
      <w:sz w:val="20"/>
      <w:szCs w:val="20"/>
    </w:rPr>
  </w:style>
  <w:style w:type="paragraph" w:styleId="Header">
    <w:name w:val="header"/>
    <w:basedOn w:val="Normal"/>
    <w:link w:val="HeaderChar"/>
    <w:uiPriority w:val="99"/>
    <w:unhideWhenUsed/>
    <w:rsid w:val="007D3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D49"/>
  </w:style>
  <w:style w:type="paragraph" w:styleId="Footer">
    <w:name w:val="footer"/>
    <w:basedOn w:val="Normal"/>
    <w:link w:val="FooterChar"/>
    <w:uiPriority w:val="99"/>
    <w:unhideWhenUsed/>
    <w:rsid w:val="007D3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D49"/>
  </w:style>
  <w:style w:type="table" w:styleId="TableGrid">
    <w:name w:val="Table Grid"/>
    <w:basedOn w:val="TableNormal"/>
    <w:uiPriority w:val="39"/>
    <w:rsid w:val="007D3D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D3D49"/>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7D3D49"/>
    <w:pPr>
      <w:ind w:left="720"/>
      <w:contextualSpacing/>
    </w:pPr>
  </w:style>
  <w:style w:type="character" w:styleId="PlaceholderText">
    <w:name w:val="Placeholder Text"/>
    <w:basedOn w:val="DefaultParagraphFont"/>
    <w:uiPriority w:val="99"/>
    <w:semiHidden/>
    <w:rsid w:val="007D3D49"/>
    <w:rPr>
      <w:color w:val="808080"/>
    </w:rPr>
  </w:style>
  <w:style w:type="paragraph" w:styleId="FootnoteText">
    <w:name w:val="footnote text"/>
    <w:basedOn w:val="Normal"/>
    <w:link w:val="FootnoteTextChar"/>
    <w:uiPriority w:val="99"/>
    <w:semiHidden/>
    <w:unhideWhenUsed/>
    <w:rsid w:val="007D3D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3D49"/>
    <w:rPr>
      <w:sz w:val="20"/>
      <w:szCs w:val="20"/>
    </w:rPr>
  </w:style>
  <w:style w:type="character" w:styleId="FootnoteReference">
    <w:name w:val="footnote reference"/>
    <w:basedOn w:val="DefaultParagraphFont"/>
    <w:uiPriority w:val="99"/>
    <w:semiHidden/>
    <w:unhideWhenUsed/>
    <w:rsid w:val="007D3D49"/>
    <w:rPr>
      <w:vertAlign w:val="superscript"/>
    </w:rPr>
  </w:style>
  <w:style w:type="paragraph" w:styleId="Revision">
    <w:name w:val="Revision"/>
    <w:hidden/>
    <w:uiPriority w:val="99"/>
    <w:semiHidden/>
    <w:rsid w:val="007D3D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D57606EC5D9D44AECB3710AC5C5133" ma:contentTypeVersion="12" ma:contentTypeDescription="Create a new document." ma:contentTypeScope="" ma:versionID="35fe7d13e3803f2484cb4e7993c2b134">
  <xsd:schema xmlns:xsd="http://www.w3.org/2001/XMLSchema" xmlns:xs="http://www.w3.org/2001/XMLSchema" xmlns:p="http://schemas.microsoft.com/office/2006/metadata/properties" xmlns:ns3="bba8d80d-ec62-4312-99ce-1d956b2b3b84" xmlns:ns4="a457e617-2928-4a8d-a412-1ef14502f3a1" targetNamespace="http://schemas.microsoft.com/office/2006/metadata/properties" ma:root="true" ma:fieldsID="4d5c3a869fe36de7c9b5e8258b8bdfb4" ns3:_="" ns4:_="">
    <xsd:import namespace="bba8d80d-ec62-4312-99ce-1d956b2b3b84"/>
    <xsd:import namespace="a457e617-2928-4a8d-a412-1ef14502f3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8d80d-ec62-4312-99ce-1d956b2b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57e617-2928-4a8d-a412-1ef14502f3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71B0D5-D7F5-4D31-A096-7B92B709F2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46D0DB-5ECC-4A09-BF8F-9805BCC63830}">
  <ds:schemaRefs>
    <ds:schemaRef ds:uri="http://schemas.microsoft.com/sharepoint/v3/contenttype/forms"/>
  </ds:schemaRefs>
</ds:datastoreItem>
</file>

<file path=customXml/itemProps3.xml><?xml version="1.0" encoding="utf-8"?>
<ds:datastoreItem xmlns:ds="http://schemas.openxmlformats.org/officeDocument/2006/customXml" ds:itemID="{25860415-0D64-4474-A50F-0F214CA47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8d80d-ec62-4312-99ce-1d956b2b3b84"/>
    <ds:schemaRef ds:uri="a457e617-2928-4a8d-a412-1ef14502f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36995</Words>
  <Characters>210873</Characters>
  <Application>Microsoft Office Word</Application>
  <DocSecurity>0</DocSecurity>
  <Lines>1757</Lines>
  <Paragraphs>494</Paragraphs>
  <ScaleCrop>false</ScaleCrop>
  <Company/>
  <LinksUpToDate>false</LinksUpToDate>
  <CharactersWithSpaces>247374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Guastaferro, Katelyn Marie</dc:creator>
  <cp:keywords/>
  <dc:description/>
  <cp:lastModifiedBy>Guastaferro, Katelyn Marie</cp:lastModifiedBy>
  <cp:revision>4</cp:revision>
  <dcterms:created xsi:type="dcterms:W3CDTF">2021-03-10T21:43:00Z</dcterms:created>
  <dcterms:modified xsi:type="dcterms:W3CDTF">2021-03-10T21:44:00Z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0x01010028D57606EC5D9D44AECB3710AC5C5133</vt:lpwstr>
  </property>
</Properties>
</file>