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CA15" w14:textId="77777777" w:rsidR="00257B12" w:rsidRPr="00E605D4" w:rsidRDefault="00257B12" w:rsidP="000676A0">
      <w:pPr>
        <w:pStyle w:val="MDPI11articletype"/>
        <w:rPr>
          <w:color w:val="auto"/>
        </w:rPr>
      </w:pPr>
      <w:bookmarkStart w:id="0" w:name="_Hlk73035805"/>
      <w:r w:rsidRPr="00E605D4">
        <w:rPr>
          <w:color w:val="auto"/>
        </w:rPr>
        <w:t>Article</w:t>
      </w:r>
    </w:p>
    <w:p w14:paraId="7312807C" w14:textId="11C119BE" w:rsidR="00257B12" w:rsidRPr="00E605D4" w:rsidRDefault="00257B12" w:rsidP="000676A0">
      <w:pPr>
        <w:pStyle w:val="MDPI12title"/>
        <w:rPr>
          <w:color w:val="auto"/>
        </w:rPr>
      </w:pPr>
      <w:bookmarkStart w:id="1" w:name="_Hlk74864979"/>
      <w:r w:rsidRPr="00E605D4">
        <w:rPr>
          <w:color w:val="auto"/>
        </w:rPr>
        <w:t xml:space="preserve">Contrasting the </w:t>
      </w:r>
      <w:r w:rsidR="0017359C" w:rsidRPr="00E605D4">
        <w:rPr>
          <w:color w:val="auto"/>
        </w:rPr>
        <w:t xml:space="preserve">Role </w:t>
      </w:r>
      <w:r w:rsidRPr="00E605D4">
        <w:rPr>
          <w:color w:val="auto"/>
        </w:rPr>
        <w:t xml:space="preserve">of </w:t>
      </w:r>
      <w:r w:rsidR="0017359C" w:rsidRPr="00E605D4">
        <w:rPr>
          <w:color w:val="auto"/>
        </w:rPr>
        <w:t xml:space="preserve">Pores </w:t>
      </w:r>
      <w:r w:rsidRPr="00E605D4">
        <w:rPr>
          <w:color w:val="auto"/>
        </w:rPr>
        <w:t xml:space="preserve">on the </w:t>
      </w:r>
      <w:r w:rsidR="0017359C" w:rsidRPr="00E605D4">
        <w:rPr>
          <w:color w:val="auto"/>
        </w:rPr>
        <w:t>Stress State Dependent Fracture Behavio</w:t>
      </w:r>
      <w:r w:rsidRPr="00E605D4">
        <w:rPr>
          <w:color w:val="auto"/>
        </w:rPr>
        <w:t xml:space="preserve">r of </w:t>
      </w:r>
      <w:r w:rsidR="0017359C" w:rsidRPr="00E605D4">
        <w:rPr>
          <w:color w:val="auto"/>
        </w:rPr>
        <w:t xml:space="preserve">Additively Manufactured Low </w:t>
      </w:r>
      <w:r w:rsidRPr="00E605D4">
        <w:rPr>
          <w:color w:val="auto"/>
        </w:rPr>
        <w:t xml:space="preserve">and </w:t>
      </w:r>
      <w:r w:rsidR="0017359C" w:rsidRPr="00E605D4">
        <w:rPr>
          <w:color w:val="auto"/>
        </w:rPr>
        <w:t>High Ductility Metals</w:t>
      </w:r>
    </w:p>
    <w:tbl>
      <w:tblPr>
        <w:tblStyle w:val="MDPITable"/>
        <w:tblpPr w:leftFromText="198" w:rightFromText="198" w:vertAnchor="page" w:horzAnchor="margin" w:tblpY="8650"/>
        <w:tblW w:w="2409" w:type="dxa"/>
        <w:tblLayout w:type="fixed"/>
        <w:tblLook w:val="04A0" w:firstRow="1" w:lastRow="0" w:firstColumn="1" w:lastColumn="0" w:noHBand="0" w:noVBand="1"/>
      </w:tblPr>
      <w:tblGrid>
        <w:gridCol w:w="2409"/>
      </w:tblGrid>
      <w:tr w:rsidR="007A2690" w:rsidRPr="00E605D4" w14:paraId="03B60212" w14:textId="77777777" w:rsidTr="007A2690">
        <w:trPr>
          <w:cantSplit/>
        </w:trPr>
        <w:tc>
          <w:tcPr>
            <w:tcW w:w="2409" w:type="dxa"/>
          </w:tcPr>
          <w:bookmarkEnd w:id="0"/>
          <w:bookmarkEnd w:id="1"/>
          <w:p w14:paraId="4395F53C" w14:textId="77777777" w:rsidR="007A2690" w:rsidRPr="00E605D4" w:rsidRDefault="007A2690" w:rsidP="007A2690">
            <w:pPr>
              <w:pStyle w:val="MDPI61Citation"/>
              <w:rPr>
                <w:color w:val="auto"/>
              </w:rPr>
            </w:pPr>
            <w:r w:rsidRPr="00E605D4">
              <w:rPr>
                <w:b/>
                <w:color w:val="auto"/>
              </w:rPr>
              <w:t>Citation:</w:t>
            </w:r>
            <w:r w:rsidRPr="00E605D4">
              <w:rPr>
                <w:color w:val="auto"/>
              </w:rPr>
              <w:t xml:space="preserve"> Wilson-Heid, A.E.; </w:t>
            </w:r>
            <w:proofErr w:type="spellStart"/>
            <w:r w:rsidRPr="00E605D4">
              <w:rPr>
                <w:color w:val="auto"/>
              </w:rPr>
              <w:t>Furton</w:t>
            </w:r>
            <w:proofErr w:type="spellEnd"/>
            <w:r w:rsidRPr="00E605D4">
              <w:rPr>
                <w:color w:val="auto"/>
              </w:rPr>
              <w:t xml:space="preserve">, E.; Beese, A.M. Contrasting the Role of Pores on the Stress State </w:t>
            </w:r>
            <w:r w:rsidRPr="00E605D4">
              <w:rPr>
                <w:color w:val="auto"/>
              </w:rPr>
              <w:br/>
              <w:t xml:space="preserve">Dependent Fracture Behavior of </w:t>
            </w:r>
            <w:r w:rsidRPr="00E605D4">
              <w:rPr>
                <w:color w:val="auto"/>
              </w:rPr>
              <w:br/>
              <w:t xml:space="preserve">Additively Manufactured Low and High Ductility Metals. </w:t>
            </w:r>
            <w:r w:rsidRPr="00E605D4">
              <w:rPr>
                <w:i/>
                <w:color w:val="auto"/>
              </w:rPr>
              <w:t xml:space="preserve">Materials </w:t>
            </w:r>
            <w:r w:rsidRPr="00E605D4">
              <w:rPr>
                <w:b/>
                <w:color w:val="auto"/>
              </w:rPr>
              <w:t>2021</w:t>
            </w:r>
            <w:r w:rsidRPr="00E605D4">
              <w:rPr>
                <w:color w:val="auto"/>
              </w:rPr>
              <w:t xml:space="preserve">, </w:t>
            </w:r>
            <w:r w:rsidRPr="00E605D4">
              <w:rPr>
                <w:i/>
                <w:color w:val="auto"/>
              </w:rPr>
              <w:t>14</w:t>
            </w:r>
            <w:r w:rsidRPr="00E605D4">
              <w:rPr>
                <w:color w:val="auto"/>
              </w:rPr>
              <w:t>, x. https://doi.org/10.3390/xxxxx</w:t>
            </w:r>
          </w:p>
          <w:p w14:paraId="6AEDD45D" w14:textId="5C7B799A" w:rsidR="007A2690" w:rsidRPr="00EA3206" w:rsidRDefault="007A2690" w:rsidP="007A2690">
            <w:pPr>
              <w:pStyle w:val="MDPI15academiceditor"/>
              <w:spacing w:after="240"/>
              <w:rPr>
                <w:color w:val="auto"/>
              </w:rPr>
            </w:pPr>
            <w:r w:rsidRPr="00EA3206">
              <w:rPr>
                <w:color w:val="auto"/>
              </w:rPr>
              <w:t xml:space="preserve">Academic Editor: Federico </w:t>
            </w:r>
            <w:proofErr w:type="spellStart"/>
            <w:r w:rsidRPr="00EA3206">
              <w:rPr>
                <w:color w:val="auto"/>
              </w:rPr>
              <w:t>Mazzucato</w:t>
            </w:r>
            <w:proofErr w:type="spellEnd"/>
          </w:p>
          <w:p w14:paraId="40F8DE42" w14:textId="714EF12E" w:rsidR="007A2690" w:rsidRPr="00E605D4" w:rsidRDefault="007A2690" w:rsidP="007A2690">
            <w:pPr>
              <w:pStyle w:val="MDPI14history"/>
              <w:rPr>
                <w:color w:val="auto"/>
              </w:rPr>
            </w:pPr>
            <w:r w:rsidRPr="00E605D4">
              <w:rPr>
                <w:color w:val="auto"/>
              </w:rPr>
              <w:t xml:space="preserve">Received: </w:t>
            </w:r>
            <w:r w:rsidR="00EA3206">
              <w:rPr>
                <w:color w:val="auto"/>
              </w:rPr>
              <w:t>28 May 2021</w:t>
            </w:r>
          </w:p>
          <w:p w14:paraId="2673682A" w14:textId="0174080E" w:rsidR="007A2690" w:rsidRPr="00E605D4" w:rsidRDefault="007A2690" w:rsidP="007A2690">
            <w:pPr>
              <w:pStyle w:val="MDPI14history"/>
              <w:rPr>
                <w:color w:val="auto"/>
              </w:rPr>
            </w:pPr>
            <w:r w:rsidRPr="00E605D4">
              <w:rPr>
                <w:color w:val="auto"/>
              </w:rPr>
              <w:t xml:space="preserve">Accepted: </w:t>
            </w:r>
            <w:r w:rsidR="00EA3206">
              <w:rPr>
                <w:color w:val="auto"/>
              </w:rPr>
              <w:t>26 June 2021</w:t>
            </w:r>
          </w:p>
          <w:p w14:paraId="346FD319" w14:textId="77777777" w:rsidR="007A2690" w:rsidRPr="00E605D4" w:rsidRDefault="007A2690" w:rsidP="007A2690">
            <w:pPr>
              <w:pStyle w:val="MDPI14history"/>
              <w:spacing w:after="240"/>
              <w:rPr>
                <w:color w:val="auto"/>
              </w:rPr>
            </w:pPr>
            <w:r w:rsidRPr="00E605D4">
              <w:rPr>
                <w:color w:val="auto"/>
              </w:rPr>
              <w:t>Published: date</w:t>
            </w:r>
          </w:p>
          <w:p w14:paraId="410236A1" w14:textId="77777777" w:rsidR="007A2690" w:rsidRPr="00E605D4" w:rsidRDefault="007A2690" w:rsidP="007A2690">
            <w:pPr>
              <w:pStyle w:val="MDPI63Notes"/>
              <w:spacing w:after="0"/>
              <w:jc w:val="both"/>
              <w:rPr>
                <w:color w:val="auto"/>
              </w:rPr>
            </w:pPr>
            <w:r w:rsidRPr="00E605D4">
              <w:rPr>
                <w:b/>
                <w:color w:val="auto"/>
              </w:rPr>
              <w:t>Publisher’s Note:</w:t>
            </w:r>
            <w:r w:rsidRPr="00E605D4">
              <w:rPr>
                <w:color w:val="auto"/>
              </w:rPr>
              <w:t xml:space="preserve"> MDPI stays neutral </w:t>
            </w:r>
            <w:proofErr w:type="gramStart"/>
            <w:r w:rsidRPr="00E605D4">
              <w:rPr>
                <w:color w:val="auto"/>
              </w:rPr>
              <w:t>with regard to</w:t>
            </w:r>
            <w:proofErr w:type="gramEnd"/>
            <w:r w:rsidRPr="00E605D4">
              <w:rPr>
                <w:color w:val="auto"/>
              </w:rPr>
              <w:t xml:space="preserve"> jurisdictional claims in published maps and institutional affiliations.</w:t>
            </w:r>
          </w:p>
          <w:p w14:paraId="0CF6A272" w14:textId="77777777" w:rsidR="007A2690" w:rsidRPr="00E605D4" w:rsidRDefault="007A2690" w:rsidP="007A2690">
            <w:pPr>
              <w:pStyle w:val="MDPI63Notes"/>
              <w:spacing w:before="240" w:after="0"/>
              <w:jc w:val="both"/>
              <w:rPr>
                <w:color w:val="auto"/>
              </w:rPr>
            </w:pPr>
            <w:r w:rsidRPr="00E605D4">
              <w:rPr>
                <w:noProof/>
                <w:snapToGrid/>
                <w:color w:val="auto"/>
              </w:rPr>
              <w:drawing>
                <wp:inline distT="0" distB="0" distL="0" distR="0" wp14:anchorId="787A209C" wp14:editId="00420A18">
                  <wp:extent cx="694800" cy="248400"/>
                  <wp:effectExtent l="0" t="0" r="0" b="0"/>
                  <wp:docPr id="3" name="Picture 3" descr="A black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6CC2AEBA" w14:textId="77777777" w:rsidR="007A2690" w:rsidRPr="00E605D4" w:rsidRDefault="007A2690" w:rsidP="007A2690">
            <w:pPr>
              <w:pStyle w:val="MDPI63Notes"/>
              <w:spacing w:before="60" w:after="0"/>
              <w:jc w:val="both"/>
              <w:rPr>
                <w:color w:val="auto"/>
              </w:rPr>
            </w:pPr>
            <w:r w:rsidRPr="00E605D4">
              <w:rPr>
                <w:b/>
                <w:color w:val="auto"/>
              </w:rPr>
              <w:t>Copyright:</w:t>
            </w:r>
            <w:r w:rsidRPr="00E605D4">
              <w:rPr>
                <w:color w:val="auto"/>
              </w:rPr>
              <w:t xml:space="preserve"> © 2021 by the authors. Submitted for possible open access publication under the terms and conditions of the Creative Commons Attribution (CC BY) license (http://creativecommons.org/licenses/by/4.0/).</w:t>
            </w:r>
          </w:p>
        </w:tc>
      </w:tr>
    </w:tbl>
    <w:p w14:paraId="030B6489" w14:textId="3E2B36B3" w:rsidR="0098390D" w:rsidRPr="00EA3206" w:rsidRDefault="00257B12" w:rsidP="000676A0">
      <w:pPr>
        <w:pStyle w:val="MDPI13authornames"/>
        <w:rPr>
          <w:color w:val="auto"/>
        </w:rPr>
      </w:pPr>
      <w:r w:rsidRPr="00E605D4">
        <w:rPr>
          <w:color w:val="auto"/>
          <w:highlight w:val="yellow"/>
        </w:rPr>
        <w:t>Alexander E Wilson-Heid</w:t>
      </w:r>
      <w:r w:rsidR="0017359C" w:rsidRPr="00E605D4">
        <w:rPr>
          <w:color w:val="auto"/>
          <w:highlight w:val="yellow"/>
        </w:rPr>
        <w:t xml:space="preserve"> </w:t>
      </w:r>
      <w:r w:rsidRPr="00E605D4">
        <w:rPr>
          <w:color w:val="auto"/>
          <w:highlight w:val="yellow"/>
          <w:vertAlign w:val="superscript"/>
        </w:rPr>
        <w:t>1</w:t>
      </w:r>
      <w:r w:rsidRPr="00E605D4">
        <w:rPr>
          <w:color w:val="auto"/>
          <w:highlight w:val="yellow"/>
        </w:rPr>
        <w:t>,</w:t>
      </w:r>
      <w:r w:rsidRPr="00E605D4">
        <w:rPr>
          <w:color w:val="auto"/>
        </w:rPr>
        <w:t xml:space="preserve"> Erik </w:t>
      </w:r>
      <w:r w:rsidR="00293879">
        <w:rPr>
          <w:color w:val="auto"/>
        </w:rPr>
        <w:t xml:space="preserve">T </w:t>
      </w:r>
      <w:proofErr w:type="spellStart"/>
      <w:r w:rsidRPr="00E605D4">
        <w:rPr>
          <w:color w:val="auto"/>
        </w:rPr>
        <w:t>Furton</w:t>
      </w:r>
      <w:proofErr w:type="spellEnd"/>
      <w:r w:rsidR="0017359C" w:rsidRPr="00E605D4">
        <w:rPr>
          <w:color w:val="auto"/>
        </w:rPr>
        <w:t xml:space="preserve"> </w:t>
      </w:r>
      <w:r w:rsidRPr="00E605D4">
        <w:rPr>
          <w:color w:val="auto"/>
          <w:vertAlign w:val="superscript"/>
        </w:rPr>
        <w:t>1</w:t>
      </w:r>
      <w:r w:rsidRPr="00E605D4">
        <w:rPr>
          <w:color w:val="auto"/>
        </w:rPr>
        <w:t xml:space="preserve"> and </w:t>
      </w:r>
      <w:r w:rsidRPr="00EA3206">
        <w:rPr>
          <w:color w:val="auto"/>
        </w:rPr>
        <w:t>Allison M Beese</w:t>
      </w:r>
      <w:r w:rsidR="0017359C" w:rsidRPr="00EA3206">
        <w:rPr>
          <w:color w:val="auto"/>
        </w:rPr>
        <w:t xml:space="preserve"> </w:t>
      </w:r>
      <w:r w:rsidRPr="00EA3206">
        <w:rPr>
          <w:color w:val="auto"/>
          <w:vertAlign w:val="superscript"/>
        </w:rPr>
        <w:t>1,</w:t>
      </w:r>
      <w:proofErr w:type="gramStart"/>
      <w:r w:rsidRPr="00EA3206">
        <w:rPr>
          <w:color w:val="auto"/>
          <w:vertAlign w:val="superscript"/>
        </w:rPr>
        <w:t>2,</w:t>
      </w:r>
      <w:r w:rsidRPr="00EA3206">
        <w:rPr>
          <w:color w:val="auto"/>
        </w:rPr>
        <w:t>*</w:t>
      </w:r>
      <w:proofErr w:type="gramEnd"/>
    </w:p>
    <w:p w14:paraId="27A2CAC6" w14:textId="6CF49BD0" w:rsidR="00257B12" w:rsidRPr="00EA3206" w:rsidRDefault="00257B12" w:rsidP="000676A0">
      <w:pPr>
        <w:pStyle w:val="MDPI16affiliation"/>
        <w:rPr>
          <w:b/>
          <w:color w:val="auto"/>
        </w:rPr>
      </w:pPr>
      <w:r w:rsidRPr="00EA3206">
        <w:rPr>
          <w:b/>
          <w:color w:val="auto"/>
          <w:vertAlign w:val="superscript"/>
        </w:rPr>
        <w:t>1</w:t>
      </w:r>
      <w:r w:rsidR="000676A0" w:rsidRPr="00EA3206">
        <w:rPr>
          <w:color w:val="auto"/>
        </w:rPr>
        <w:tab/>
      </w:r>
      <w:r w:rsidRPr="00EA3206">
        <w:rPr>
          <w:color w:val="auto"/>
        </w:rPr>
        <w:t xml:space="preserve">Department of Materials Science and Engineering, Pennsylvania State University, </w:t>
      </w:r>
      <w:r w:rsidR="0098390D" w:rsidRPr="00EA3206">
        <w:rPr>
          <w:color w:val="auto"/>
        </w:rPr>
        <w:br/>
      </w:r>
      <w:r w:rsidRPr="00EA3206">
        <w:rPr>
          <w:color w:val="auto"/>
        </w:rPr>
        <w:t xml:space="preserve">University Park, PA 16802, </w:t>
      </w:r>
      <w:r w:rsidR="0098390D" w:rsidRPr="00EA3206">
        <w:rPr>
          <w:color w:val="auto"/>
        </w:rPr>
        <w:t>USA; axw66@psu.edu (A.E.W.-H.); emf5640@psu.edu (E.F.)</w:t>
      </w:r>
    </w:p>
    <w:p w14:paraId="2B49E0A7" w14:textId="67CD8401" w:rsidR="00257B12" w:rsidRPr="00E605D4" w:rsidRDefault="00257B12" w:rsidP="000676A0">
      <w:pPr>
        <w:pStyle w:val="MDPI16affiliation"/>
        <w:rPr>
          <w:color w:val="auto"/>
        </w:rPr>
      </w:pPr>
      <w:r w:rsidRPr="00EA3206">
        <w:rPr>
          <w:b/>
          <w:color w:val="auto"/>
          <w:vertAlign w:val="superscript"/>
        </w:rPr>
        <w:t>2</w:t>
      </w:r>
      <w:r w:rsidR="000676A0" w:rsidRPr="00EA3206">
        <w:rPr>
          <w:b/>
          <w:color w:val="auto"/>
        </w:rPr>
        <w:tab/>
      </w:r>
      <w:r w:rsidRPr="00EA3206">
        <w:rPr>
          <w:color w:val="auto"/>
        </w:rPr>
        <w:t xml:space="preserve">Department of Mechanical Engineering, Pennsylvania </w:t>
      </w:r>
      <w:r w:rsidRPr="00E605D4">
        <w:rPr>
          <w:color w:val="auto"/>
        </w:rPr>
        <w:t xml:space="preserve">State University, University Park, PA 16802, </w:t>
      </w:r>
      <w:r w:rsidR="0098390D" w:rsidRPr="00E605D4">
        <w:rPr>
          <w:color w:val="auto"/>
        </w:rPr>
        <w:t>USA</w:t>
      </w:r>
    </w:p>
    <w:p w14:paraId="4C3C2E86" w14:textId="38748747" w:rsidR="00257B12" w:rsidRPr="00E605D4" w:rsidRDefault="000676A0" w:rsidP="000676A0">
      <w:pPr>
        <w:pStyle w:val="MDPI16affiliation"/>
        <w:rPr>
          <w:color w:val="auto"/>
          <w:sz w:val="20"/>
          <w:szCs w:val="20"/>
          <w:highlight w:val="red"/>
        </w:rPr>
      </w:pPr>
      <w:r w:rsidRPr="00E605D4">
        <w:rPr>
          <w:b/>
          <w:color w:val="auto"/>
        </w:rPr>
        <w:t>*</w:t>
      </w:r>
      <w:r w:rsidRPr="00E605D4">
        <w:rPr>
          <w:color w:val="auto"/>
        </w:rPr>
        <w:tab/>
        <w:t xml:space="preserve">Correspondence: </w:t>
      </w:r>
      <w:r w:rsidR="00257B12" w:rsidRPr="00E605D4">
        <w:rPr>
          <w:color w:val="auto"/>
        </w:rPr>
        <w:t>beese@matse.psu.edu</w:t>
      </w:r>
    </w:p>
    <w:p w14:paraId="3BD1ABF0" w14:textId="443CC3AA" w:rsidR="00257B12" w:rsidRPr="00E605D4" w:rsidRDefault="00257B12" w:rsidP="000676A0">
      <w:pPr>
        <w:pStyle w:val="MDPI17abstract"/>
        <w:rPr>
          <w:color w:val="auto"/>
        </w:rPr>
      </w:pPr>
      <w:r w:rsidRPr="00E605D4">
        <w:rPr>
          <w:b/>
          <w:bCs/>
          <w:color w:val="auto"/>
        </w:rPr>
        <w:t>Abstract</w:t>
      </w:r>
      <w:r w:rsidRPr="00E605D4">
        <w:rPr>
          <w:b/>
          <w:color w:val="auto"/>
        </w:rPr>
        <w:t xml:space="preserve">: </w:t>
      </w:r>
      <w:r w:rsidRPr="00E605D4">
        <w:rPr>
          <w:color w:val="auto"/>
        </w:rPr>
        <w:t>This study investigates the disparate impact of internal pores on the fracture behavior of two metal alloys fabricated via laser powder bed fusion (L-PBF) additive manufacturing (AM)</w:t>
      </w:r>
      <w:r w:rsidR="00FF180E" w:rsidRPr="00E605D4">
        <w:rPr>
          <w:color w:val="auto"/>
        </w:rPr>
        <w:t>—</w:t>
      </w:r>
      <w:r w:rsidRPr="00E605D4">
        <w:rPr>
          <w:color w:val="auto"/>
        </w:rPr>
        <w:t>316L stainless steel and Ti-6Al-4V. Data from mechanical tests over a range of stress states for dense samples and those with intentionally introduced penny-shaped pores of various diameters were used to contrast the combined impact of pore size and stress state on the fracture behavior of these two materials. The fracture data were used to calibrate and compare multiple fracture models (Mohr-Coulomb, Hosford-Coulomb, and maximum stress criteria), with results compared in equivalent stress (versus stress triaxiality and Lode angle) space, as well as in their conversions to equivalent strain space. For L-PBF 316L, the strain-based fracture models captured the stress state dependent failure behavior up to the largest pore size studied (2400 µm diameter, 16% cross-sectional area of gauge region), while for L-PBF Ti-6Al-4V, the stress-based fracture models better captured the change in failure behavior with pore size up to the largest pore size studied. This difference can be attributed to the relatively high ductility of 316L stainless steel, for which all samples underwent significant plastic deformation prior to failure, contrasted with the relatively low ductility of Ti-6Al-4V, for which, with increasing pore size, the displacement to failure was dominated by elastic deformation.</w:t>
      </w:r>
    </w:p>
    <w:p w14:paraId="75BDE72F" w14:textId="77777777" w:rsidR="00257B12" w:rsidRPr="00E605D4" w:rsidRDefault="000676A0" w:rsidP="000676A0">
      <w:pPr>
        <w:pStyle w:val="MDPI18keywords"/>
        <w:rPr>
          <w:color w:val="auto"/>
        </w:rPr>
      </w:pPr>
      <w:r w:rsidRPr="00E605D4">
        <w:rPr>
          <w:b/>
          <w:bCs/>
          <w:color w:val="auto"/>
        </w:rPr>
        <w:t>Keywords:</w:t>
      </w:r>
      <w:r w:rsidR="00257B12" w:rsidRPr="00E605D4">
        <w:rPr>
          <w:b/>
          <w:bCs/>
          <w:color w:val="auto"/>
        </w:rPr>
        <w:t xml:space="preserve"> </w:t>
      </w:r>
      <w:r w:rsidR="00257B12" w:rsidRPr="00E605D4">
        <w:rPr>
          <w:color w:val="auto"/>
        </w:rPr>
        <w:t>ductile</w:t>
      </w:r>
      <w:r w:rsidR="00257B12" w:rsidRPr="00E605D4">
        <w:rPr>
          <w:b/>
          <w:bCs/>
          <w:color w:val="auto"/>
        </w:rPr>
        <w:t xml:space="preserve"> </w:t>
      </w:r>
      <w:r w:rsidR="00257B12" w:rsidRPr="00E605D4">
        <w:rPr>
          <w:color w:val="auto"/>
        </w:rPr>
        <w:t>fracture; stress state; Ti-6Al-4V; 316L stainless steel; laser powder bed fusion</w:t>
      </w:r>
    </w:p>
    <w:p w14:paraId="115ADD7A" w14:textId="77777777" w:rsidR="00257B12" w:rsidRPr="00E605D4" w:rsidRDefault="00257B12" w:rsidP="000676A0">
      <w:pPr>
        <w:pStyle w:val="MDPI19line"/>
        <w:pBdr>
          <w:bottom w:val="single" w:sz="4" w:space="1" w:color="000000"/>
        </w:pBdr>
        <w:rPr>
          <w:color w:val="auto"/>
        </w:rPr>
      </w:pPr>
    </w:p>
    <w:p w14:paraId="65EF5E45" w14:textId="77777777" w:rsidR="00257B12" w:rsidRPr="00E605D4" w:rsidRDefault="000676A0" w:rsidP="000676A0">
      <w:pPr>
        <w:pStyle w:val="MDPI21heading1"/>
        <w:rPr>
          <w:color w:val="auto"/>
        </w:rPr>
      </w:pPr>
      <w:r w:rsidRPr="00E605D4">
        <w:rPr>
          <w:color w:val="auto"/>
        </w:rPr>
        <w:t xml:space="preserve">1. </w:t>
      </w:r>
      <w:r w:rsidR="00257B12" w:rsidRPr="00E605D4">
        <w:rPr>
          <w:color w:val="auto"/>
        </w:rPr>
        <w:t>Introduction</w:t>
      </w:r>
    </w:p>
    <w:p w14:paraId="2B006BD0" w14:textId="524DFC12" w:rsidR="00257B12" w:rsidRPr="00E605D4" w:rsidRDefault="00257B12" w:rsidP="000676A0">
      <w:pPr>
        <w:pStyle w:val="MDPI31text"/>
        <w:rPr>
          <w:color w:val="auto"/>
        </w:rPr>
      </w:pPr>
      <w:r w:rsidRPr="00E605D4">
        <w:rPr>
          <w:color w:val="auto"/>
        </w:rPr>
        <w:t xml:space="preserve">A major area of focus in the field of additive manufacturing (AM) is understanding pore formation, and process optimization with the goal of creating fully dense, defect-free components </w:t>
      </w:r>
      <w:r w:rsidRPr="00E605D4">
        <w:rPr>
          <w:color w:val="auto"/>
        </w:rPr>
        <w:fldChar w:fldCharType="begin" w:fldLock="1"/>
      </w:r>
      <w:r w:rsidRPr="00E605D4">
        <w:rPr>
          <w:color w:val="auto"/>
        </w:rPr>
        <w:instrText>ADDIN CSL_CITATION {"citationItems":[{"id":"ITEM-1","itemData":{"DOI":"10.1016/j.addma.2016.12.001","ISSN":"22148604","abstract":"A geometry-based simulation is used to predict porosity caused by insufficient overlap of melt pools (lack of fusion) in powder bed fusion. The inputs into the simulation are hatch spacing, layer thickness, and melt-pool cross-sectional area. Melt-pool areas used in the simulations can be obtained from experiments, or estimated with the analytical Rosenthal equation. The necessary material constants, including absorptivity for laser-based melting, have been collated for alloy steels, aluminum alloys and titanium alloys. Comparison with several data sets from the literature shows that the simulations correctly predict process conditions at which lack-of-fusion porosity becomes apparent, as well as the rate at which porosity increases with changes in process conditions such as beam speed, layer thickness and hatch spacing.","author":[{"dropping-particle":"","family":"Tang","given":"Ming","non-dropping-particle":"","parse-names":false,"suffix":""},{"dropping-particle":"","family":"Pistorius","given":"P. Chris","non-dropping-particle":"","parse-names":false,"suffix":""},{"dropping-particle":"","family":"Beuth","given":"Jack L.","non-dropping-particle":"","parse-names":false,"suffix":""}],"container-title":"Additive Manufacturing","id":"ITEM-1","issued":{"date-parts":[["2017"]]},"page":"39-48","title":"Prediction of lack-of-fusion porosity for powder bed fusion","type":"article-journal","volume":"14"},"uris":["http://www.mendeley.com/documents/?uuid=fcd127d5-b511-3772-b417-d6562a0dcd87"]},{"id":"ITEM-2","itemData":{"DOI":"10.1016/j.addma.2018.11.015","ISSN":"22148604","abstract":"Selective laser melting is already established as a commercial production technique. Some high-end users are, however, struggling with the complexity, consistency and cost associated with the qualification of high-end products built using the technique. In-situ process monitoring is a promising means to accommodate this issue, but quantitative correlations between monitoring signals and actual part defects have been lacking. In this paper, results are presented that have been obtained with an off-axis melt pool monitoring system on a 3D Systems ProX DMP 320 using Ti-6Al-4 V ELI. The focus is on the development of a method for predicting the presence and location of lack of fusion porosities as they can have a large impact on part quality and are not always easily detected post-build. The processed signals from the monitoring system are shown to have a high degree of correlation with the presence of lack of fusion porosities as measured by CT scans. A prediction sensitivity of 90% for lack of fusion events in the range of pores having a volume greater than 0.001 mm 3 , roughly equivalent to 160 μm in diameter, was obtained.","author":[{"dropping-particle":"","family":"Coeck","given":"Sam","non-dropping-particle":"","parse-names":false,"suffix":""},{"dropping-particle":"","family":"Bisht","given":"Manisha","non-dropping-particle":"","parse-names":false,"suffix":""},{"dropping-particle":"","family":"Plas","given":"Jan","non-dropping-particle":"","parse-names":false,"suffix":""},{"dropping-particle":"","family":"Verbist","given":"Frederik","non-dropping-particle":"","parse-names":false,"suffix":""}],"container-title":"Additive Manufacturing","id":"ITEM-2","issue":"September 2018","issued":{"date-parts":[["2019"]]},"page":"347-356","publisher":"Elsevier","title":"Prediction of lack of fusion porosity in selective laser melting based on melt pool monitoring data","type":"article-journal","volume":"25"},"uris":["http://www.mendeley.com/documents/?uuid=7c21b94d-bb9a-49dc-84e1-721eed5907d5","http://www.mendeley.com/documents/?uuid=fa06abcb-5fb6-41ca-b6f4-ff5e5c312399"]},{"id":"ITEM-3","itemData":{"author":[{"dropping-particle":"V","family":"Popov","given":"Vladimir","non-dropping-particle":"","parse-names":false,"suffix":""},{"dropping-particle":"","family":"Grilli","given":"Maria Luisa","non-dropping-particle":"","parse-names":false,"suffix":""},{"dropping-particle":"","family":"Koptyug","given":"Andrey","non-dropping-particle":"","parse-names":false,"suffix":""},{"dropping-particle":"","family":"Jaworska","given":"Lucyna","non-dropping-particle":"","parse-names":false,"suffix":""},{"dropping-particle":"","family":"Katz-Demyanetz","given":"Alexander","non-dropping-particle":"","parse-names":false,"suffix":""},{"dropping-particle":"","family":"Klobcar","given":"Damjan","non-dropping-particle":"","parse-names":false,"suffix":""},{"dropping-particle":"","family":"Balos","given":"Sebastian","non-dropping-particle":"","parse-names":false,"suffix":""},{"dropping-particle":"","family":"Postolnyi","given":"Bogdan O","non-dropping-particle":"","parse-names":false,"suffix":""},{"dropping-particle":"","family":"Goel","given":"Saurav","non-dropping-particle":"","parse-names":false,"suffix":""}],"container-title":"Materials","id":"ITEM-3","issue":"909","issued":{"date-parts":[["2021"]]},"page":"1-37","title":"Powder Bed Fusion Additive Manufacturing Using Critical Raw Materials: A Review","type":"article-journal","volume":"14"},"uris":["http://www.mendeley.com/documents/?uuid=dd8cff00-41ee-405d-bb85-93a36b7a450f"]}],"mendeley":{"formattedCitation":"[1–3]","plainTextFormattedCitation":"[1–3]","previouslyFormattedCitation":"[1,2]"},"properties":{"noteIndex":0},"schema":"https://github.com/citation-style-language/schema/raw/master/csl-citation.json"}</w:instrText>
      </w:r>
      <w:r w:rsidRPr="00E605D4">
        <w:rPr>
          <w:color w:val="auto"/>
        </w:rPr>
        <w:fldChar w:fldCharType="separate"/>
      </w:r>
      <w:r w:rsidRPr="00E605D4">
        <w:rPr>
          <w:noProof/>
          <w:color w:val="auto"/>
        </w:rPr>
        <w:t>[1–3]</w:t>
      </w:r>
      <w:r w:rsidRPr="00E605D4">
        <w:rPr>
          <w:color w:val="auto"/>
        </w:rPr>
        <w:fldChar w:fldCharType="end"/>
      </w:r>
      <w:r w:rsidRPr="00E605D4">
        <w:rPr>
          <w:color w:val="auto"/>
        </w:rPr>
        <w:t xml:space="preserve">. Studying the effect of pores on metal failure, along with the development of failure models based on theory and experiments has a long and continued history for conventionally </w:t>
      </w:r>
      <w:r w:rsidRPr="00564933">
        <w:rPr>
          <w:color w:val="auto"/>
        </w:rPr>
        <w:t xml:space="preserve">processed ductile metals due to the importance of avoiding failure in load bearing components or during metal forming </w:t>
      </w:r>
      <w:r w:rsidRPr="00564933">
        <w:rPr>
          <w:color w:val="auto"/>
        </w:rPr>
        <w:fldChar w:fldCharType="begin" w:fldLock="1"/>
      </w:r>
      <w:r w:rsidRPr="00564933">
        <w:rPr>
          <w:color w:val="auto"/>
        </w:rPr>
        <w:instrText>ADDIN CSL_CITATION {"citationItems":[{"id":"ITEM-1","itemData":{"author":[{"dropping-particle":"","family":"McClintock","given":"F. A.","non-dropping-particle":"","parse-names":false,"suffix":""}],"container-title":"Journal of Applied Mechanics","id":"ITEM-1","issue":"2","issued":{"date-parts":[["1968"]]},"page":"363-371","title":"A Criterion for Ductile Fracture by the Growth of Holes","type":"article-journal","volume":"35"},"uris":["http://www.mendeley.com/documents/?uuid=2c9012d8-008b-47be-96df-4012099e890a"]},{"id":"ITEM-2","itemData":{"DOI":"10.1016/0022-5096(69)90033-7","ISSN":"00225096","abstract":"The fracture of ductile solids has frequently been observed to result from the large growth and coalescence of microscopic voids, a process enhanced by the superposition of hydrostatic tensile stresses on a plastic deformation field. The ductile growth of voids is treated here as a problem in continuum plasticity. First, a variational principle is established to characterize the flow field in an elastically rigid and incompressible plastic material containing an internal void or voids, and subjected to a remotely uniform stress and strain rate field. Then an approximate Rayleigh-Ritz procedure is developed and applied to the enlargement of an isolated spherical void in a nonhardening material. Growth is studied in some detail for the case of a remote tensile extension field with superposed hydrostatic stresses. The volume changing contribution to void growth is found to overwhelm the shape changing part when the mean remote normal stress is large, so that growth is essentially spherical. Further, it is found that for any remote strain rate field, the void enlargement rate is amplified over the remote strain rate by a factor rising exponentially with the ratio of mean normal stress to yield stress. Some related results are discussed, including the long cylindrical void considered by F.A. McClintock (1968, J. appl. Mech. 35, 363), and an approximate relation is given to describe growth of a spherical void in a general remote field. The results suggest a rapidly decreasing fracture ductility with increasing hydrostatic tension. © 1969.","author":[{"dropping-particle":"","family":"Rice","given":"J. R.","non-dropping-particle":"","parse-names":false,"suffix":""},{"dropping-particle":"","family":"Tracey","given":"D. M.","non-dropping-particle":"","parse-names":false,"suffix":""}],"container-title":"Journal of the Mechanics and Physics of Solids","id":"ITEM-2","issue":"3","issued":{"date-parts":[["1969"]]},"page":"201-217","title":"On the ductile enlargement of voids in triaxial stress fields","type":"article-journal","volume":"17"},"uris":["http://www.mendeley.com/documents/?uuid=3741018b-600a-4a51-af17-b7733e70eae5"]},{"id":"ITEM-3","itemData":{"DOI":"10.1115/1.3443401","ISBN":"0094-4289","ISSN":"00944289","abstract":"Widely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fracture.","author":[{"dropping-particle":"","family":"Gurson","given":"A. L.","non-dropping-particle":"","parse-names":false,"suffix":""}],"container-title":"Journal of Engineering Materials and Technology","id":"ITEM-3","issue":"1","issued":{"date-parts":[["1977"]]},"page":"2","title":"Continuum Theory of Ductile Rupture by Void Nucleation and Growth: Part I—Yield Criteria and Flow Rules for Porous Ductile Media","type":"article-journal","volume":"99"},"uris":["http://www.mendeley.com/documents/?uuid=5b50ccfe-5cca-48e7-968c-341ff2329835"]},{"id":"ITEM-4","itemData":{"DOI":"10.1016/S1359-6454(97)00247-4","ISSN":"13596454","abstract":"Ductile fracture of round copper bars is investigated within the scope of the local approach methodology. Two damage models are analysed: the Rice and Tracey model and the Gurson-Leblond-Perrin model. A comparative study of four coalescence criteria is conducted: a critical value of the damage parameter, the Brown and Embury criterion, the Thomason criterion and a criterion based on the reaching of the maximum von Mises equivalent stress in a Gurson type simulation. Ellipsoidal void growth and void interaction are accounted for. As far as possible, all the parameters of the models are identified from experiments and physical observations. The effect of stress triaxiality is studied using specimens presenting a wide range of notch radii. The effect of strain-hardening is analysed by comparing the behaviour of the material in the cold drawn state and in the annealed state. © 1998 Acta Metallurgica Inc.","author":[{"dropping-particle":"","family":"Pardoen","given":"T.","non-dropping-particle":"","parse-names":false,"suffix":""},{"dropping-particle":"","family":"Doghri","given":"I.","non-dropping-particle":"","parse-names":false,"suffix":""},{"dropping-particle":"","family":"Delannay","given":"F.","non-dropping-particle":"","parse-names":false,"suffix":""}],"container-title":"Acta Materialia","id":"ITEM-4","issue":"2","issued":{"date-parts":[["1998"]]},"page":"541-552","title":"Experimental and numerical comparison of void growth models and void coalescence criteria for the prediction of ductile fracture in copper bars","type":"article-journal","volume":"46"},"uris":["http://www.mendeley.com/documents/?uuid=0b2ed9ea-d7ce-4f45-9186-5cc7e41cd9fd","http://www.mendeley.com/documents/?uuid=4f6dd16d-d54b-47f3-8cd3-c43a31ce407a"]},{"id":"ITEM-5","itemData":{"DOI":"10.1016/S0020-7683(02)00168-3","ISSN":"00207683","abstract":"Two distinct mechanism of crack initiation and advance by void growth have been identified in the literature on the mechanics of ductile fracture. One is the interaction a single void with the crack tip characterizing initiation and the subsequent void by void advance of the tip. This mechanism is represented by the early model of Rice and Johnson and the subsequent more detailed numerical computations of McMeeking and coworkers on a single void interacting with a crack tip. The second mechanism involves the simultaneous interaction of multiple voids on the plane ahead of the crack tip both during initiation and in subsequent crack growth. This mechanism is revealed by models with an embedded fracture process zone, such as those developed by Tvergaard and Hutchinson. While both mechanisms are based on void nucleation, growth and coalescene, the inferences from them with regard to crack growth initiation and growth are quantitatively different. The present paper provides a formulation and numerical analysis of a two-dimensional plane strain model with multiple discrete voids located ahead of a pre-existing crack tip. At initial void volume fractions that are sufficiently low, initiation and growth is approximately represented by the void by void mechanism. At somewhat higher initial void volume fractions, a transition in behavior occurs whereby many voids ahead of the tip grow at comparable rates and their interaction determines initiation toughness and crack growth resistance. The study demonstrates that improvements to be expected in fracture toughness by reducing the population of second phase particles responsible for nucleating voids cannot be understood in terms of trends of one mechanism alone. The transition from one mechanism to the other must be taken into account. © 2002 Elsevier Science Ltd. All rights reserved.","author":[{"dropping-particle":"","family":"Tvergaard","given":"Viggo","non-dropping-particle":"","parse-names":false,"suffix":""},{"dropping-particle":"","family":"Hutchinson","given":"John W.","non-dropping-particle":"","parse-names":false,"suffix":""}],"container-title":"International Journal of Solids and Structures","id":"ITEM-5","issue":"13-14","issued":{"date-parts":[["2002"]]},"page":"3581-3597","title":"Two mechanisms of ductile fracture: Void by void growth versus multiple void interaction","type":"article-journal","volume":"39"},"uris":["http://www.mendeley.com/documents/?uuid=46ce5a3a-1cc0-45ad-a9d8-07da9c7c2816","http://www.mendeley.com/documents/?uuid=46fa4a24-f511-482e-ba10-3f46b8be7367"]},{"id":"ITEM-6","itemData":{"DOI":"10.1016/S0065-2156(10)44003-X","ISSN":"0065-2156","author":[{"dropping-particle":"","family":"Benzerga","given":"A Amine","non-dropping-particle":"","parse-names":false,"suffix":""},{"dropping-particle":"","family":"Leblond","given":"Jean-baptiste","non-dropping-particle":"","parse-names":false,"suffix":""}],"chapter-number":"Ductile Fr","container-title":"Advances in Applied Mechanics Vol. 44","id":"ITEM-6","issued":{"date-parts":[["2010"]]},"page":"169-305","publisher":"Elsevier Inc.","title":"Ductile Fracture by Void Growth to Coalescence","type":"chapter","volume":"44"},"uris":["http://www.mendeley.com/documents/?uuid=5a245319-d8b5-4466-a736-546a72e6540f"]}],"mendeley":{"formattedCitation":"[4–9]","plainTextFormattedCitation":"[4–9]","previouslyFormattedCitation":"[3–8]"},"properties":{"noteIndex":0},"schema":"https://github.com/citation-style-language/schema/raw/master/csl-citation.json"}</w:instrText>
      </w:r>
      <w:r w:rsidRPr="00564933">
        <w:rPr>
          <w:color w:val="auto"/>
        </w:rPr>
        <w:fldChar w:fldCharType="separate"/>
      </w:r>
      <w:r w:rsidRPr="00564933">
        <w:rPr>
          <w:noProof/>
          <w:color w:val="auto"/>
        </w:rPr>
        <w:t>[4–9]</w:t>
      </w:r>
      <w:r w:rsidRPr="00564933">
        <w:rPr>
          <w:color w:val="auto"/>
        </w:rPr>
        <w:fldChar w:fldCharType="end"/>
      </w:r>
      <w:r w:rsidRPr="00564933">
        <w:rPr>
          <w:color w:val="auto"/>
        </w:rPr>
        <w:t xml:space="preserve">. </w:t>
      </w:r>
      <w:bookmarkStart w:id="2" w:name="_Hlk74872034"/>
      <w:r w:rsidRPr="00564933">
        <w:rPr>
          <w:color w:val="auto"/>
        </w:rPr>
        <w:t xml:space="preserve">For example, in 1977 </w:t>
      </w:r>
      <w:proofErr w:type="spellStart"/>
      <w:r w:rsidRPr="00564933">
        <w:rPr>
          <w:color w:val="auto"/>
        </w:rPr>
        <w:t>Gurson</w:t>
      </w:r>
      <w:proofErr w:type="spellEnd"/>
      <w:r w:rsidRPr="00564933">
        <w:rPr>
          <w:color w:val="auto"/>
        </w:rPr>
        <w:t xml:space="preserve"> developed a model in terms of a yield function and microstructurally informed void volume fraction to understand void growth and ductile failure using simplified spherical and cylindrical void models </w:t>
      </w:r>
      <w:r w:rsidRPr="00564933">
        <w:rPr>
          <w:color w:val="auto"/>
        </w:rPr>
        <w:fldChar w:fldCharType="begin" w:fldLock="1"/>
      </w:r>
      <w:r w:rsidRPr="00564933">
        <w:rPr>
          <w:color w:val="auto"/>
        </w:rPr>
        <w:instrText>ADDIN CSL_CITATION {"citationItems":[{"id":"ITEM-1","itemData":{"DOI":"10.1115/1.3443401","ISBN":"0094-4289","ISSN":"00944289","abstract":"Widely used constitutive laws for engineering materials assume plastic incompressibility, and no effect on yield of the hydrostatic component of stress. However, void nucleation and growth (and thus bulk dilatancy) are commonly observed is some processes which are characterized by large local plastic flow, such as ductile fracture.","author":[{"dropping-particle":"","family":"Gurson","given":"A. L.","non-dropping-particle":"","parse-names":false,"suffix":""}],"container-title":"Journal of Engineering Materials and Technology","id":"ITEM-1","issue":"1","issued":{"date-parts":[["1977"]]},"page":"2","title":"Continuum Theory of Ductile Rupture by Void Nucleation and Growth: Part I—Yield Criteria and Flow Rules for Porous Ductile Media","type":"article-journal","volume":"99"},"uris":["http://www.mendeley.com/documents/?uuid=5b50ccfe-5cca-48e7-968c-341ff2329835"]}],"mendeley":{"formattedCitation":"[6]","plainTextFormattedCitation":"[6]","previouslyFormattedCitation":"[5]"},"properties":{"noteIndex":0},"schema":"https://github.com/citation-style-language/schema/raw/master/csl-citation.json"}</w:instrText>
      </w:r>
      <w:r w:rsidRPr="00564933">
        <w:rPr>
          <w:color w:val="auto"/>
        </w:rPr>
        <w:fldChar w:fldCharType="separate"/>
      </w:r>
      <w:r w:rsidRPr="00564933">
        <w:rPr>
          <w:noProof/>
          <w:color w:val="auto"/>
        </w:rPr>
        <w:t>[6]</w:t>
      </w:r>
      <w:r w:rsidRPr="00564933">
        <w:rPr>
          <w:color w:val="auto"/>
        </w:rPr>
        <w:fldChar w:fldCharType="end"/>
      </w:r>
      <w:r w:rsidRPr="00564933">
        <w:rPr>
          <w:color w:val="auto"/>
        </w:rPr>
        <w:t xml:space="preserve">. </w:t>
      </w:r>
      <w:bookmarkEnd w:id="2"/>
      <w:r w:rsidRPr="00564933">
        <w:rPr>
          <w:color w:val="auto"/>
        </w:rPr>
        <w:t xml:space="preserve">By combining the existing frameworks for fracture modeling with the unique manufacturing </w:t>
      </w:r>
      <w:r w:rsidRPr="00E605D4">
        <w:rPr>
          <w:color w:val="auto"/>
        </w:rPr>
        <w:t>capabilities of AM, new insight into the effect of pores on ductile failure is possible.</w:t>
      </w:r>
    </w:p>
    <w:p w14:paraId="4A34CFDF" w14:textId="60F6CDF6" w:rsidR="00257B12" w:rsidRPr="00E605D4" w:rsidRDefault="00257B12" w:rsidP="000676A0">
      <w:pPr>
        <w:pStyle w:val="MDPI31text"/>
        <w:rPr>
          <w:color w:val="auto"/>
        </w:rPr>
      </w:pPr>
      <w:r w:rsidRPr="00E605D4">
        <w:rPr>
          <w:color w:val="auto"/>
        </w:rPr>
        <w:t>Laser powder bed fusion (L-PBF) AM is a process for building metallic components layer-by-layer using a focused laser heat source to melt a selected 2-dimensional pattern in a thin layer (1</w:t>
      </w:r>
      <w:r w:rsidR="00047D86" w:rsidRPr="00E605D4">
        <w:rPr>
          <w:color w:val="auto"/>
        </w:rPr>
        <w:t>0–100</w:t>
      </w:r>
      <w:r w:rsidRPr="00E605D4">
        <w:rPr>
          <w:color w:val="auto"/>
        </w:rPr>
        <w:t xml:space="preserve"> µm) of powder feedstock to a baseplate, lowering the baseplate by a prescribed layer thickness, spreading on a new layer, scanning the next layer pattern, which fuses to the previous layer, and repeating until a final 3-dimensional (3D) </w:t>
      </w:r>
      <w:r w:rsidRPr="00E605D4">
        <w:rPr>
          <w:color w:val="auto"/>
        </w:rPr>
        <w:lastRenderedPageBreak/>
        <w:t>component is completed. In AM, there are numerous processing parameters that dictate a completed component’s quality.</w:t>
      </w:r>
      <w:r w:rsidR="000676A0" w:rsidRPr="00E605D4">
        <w:rPr>
          <w:color w:val="auto"/>
        </w:rPr>
        <w:t xml:space="preserve"> </w:t>
      </w:r>
      <w:r w:rsidRPr="00E605D4">
        <w:rPr>
          <w:color w:val="auto"/>
        </w:rPr>
        <w:t>One primary evaluation metric for optimizing a parameter set for a given alloy is component density</w:t>
      </w:r>
      <w:r w:rsidR="00CE6ED7">
        <w:rPr>
          <w:color w:val="auto"/>
        </w:rPr>
        <w:t>,</w:t>
      </w:r>
      <w:r w:rsidRPr="00E605D4">
        <w:rPr>
          <w:color w:val="auto"/>
        </w:rPr>
        <w:t xml:space="preserve"> or the reduction of pores. Pores in AM parts can be formed via different mechanisms </w:t>
      </w:r>
      <w:r w:rsidRPr="00E605D4">
        <w:rPr>
          <w:color w:val="auto"/>
        </w:rPr>
        <w:fldChar w:fldCharType="begin" w:fldLock="1"/>
      </w:r>
      <w:r w:rsidRPr="00E605D4">
        <w:rPr>
          <w:color w:val="auto"/>
        </w:rPr>
        <w:instrText>ADDIN CSL_CITATION {"citationItems":[{"id":"ITEM-1","itemData":{"DOI":"10.1016/j.addma.2020.101457","ISSN":"22148604","abstract":"It is widely accepted that gas porosity and lack-of-fusion flaws can degrade both static and dynamic mechanical performance of additively manufactured components, limiting the use of AM components in critical applications. However, the mechanisms by which these flaws form are still debated, and their impact on dynamic material performance have yet to be fully quantified. This work outlines the current understanding of the formation mechanisms for gas porosity, lack-of-fusion, and flaws related to melt pool instabilities. Where possible, the spatial and morphological characteristics of these flaws are highlighted, as well as their impact on mechanical properties. The effect of hot isostatic pressing is also discussed.","author":[{"dropping-particle":"","family":"Snow","given":"Zackary","non-dropping-particle":"","parse-names":false,"suffix":""},{"dropping-particle":"","family":"Nassar","given":"Abdalla R.","non-dropping-particle":"","parse-names":false,"suffix":""},{"dropping-particle":"","family":"Reutzel","given":"Edward W.","non-dropping-particle":"","parse-names":false,"suffix":""}],"container-title":"Additive Manufacturing","id":"ITEM-1","issue":"July","issued":{"date-parts":[["2020"]]},"page":"101457","publisher":"Elsevier","title":"Invited Review Article: Review of the formation and impact of flaws in powder bed fusion additive manufacturing","type":"article-journal","volume":"36"},"uris":["http://www.mendeley.com/documents/?uuid=e5276765-43c7-4d31-af7e-498ac43d6914","http://www.mendeley.com/documents/?uuid=71231555-b3af-421f-9406-438fff7b235f"]}],"mendeley":{"formattedCitation":"[10]","plainTextFormattedCitation":"[10]","previouslyFormattedCitation":"[9]"},"properties":{"noteIndex":0},"schema":"https://github.com/citation-style-language/schema/raw/master/csl-citation.json"}</w:instrText>
      </w:r>
      <w:r w:rsidRPr="00E605D4">
        <w:rPr>
          <w:color w:val="auto"/>
        </w:rPr>
        <w:fldChar w:fldCharType="separate"/>
      </w:r>
      <w:r w:rsidRPr="00E605D4">
        <w:rPr>
          <w:noProof/>
          <w:color w:val="auto"/>
        </w:rPr>
        <w:t>[10]</w:t>
      </w:r>
      <w:r w:rsidRPr="00E605D4">
        <w:rPr>
          <w:color w:val="auto"/>
        </w:rPr>
        <w:fldChar w:fldCharType="end"/>
      </w:r>
      <w:r w:rsidRPr="00E605D4">
        <w:rPr>
          <w:color w:val="auto"/>
        </w:rPr>
        <w:t xml:space="preserve">; two of the primary mechanisms are: (1) gas entrapment during melting and solidification of the </w:t>
      </w:r>
      <w:proofErr w:type="spellStart"/>
      <w:r w:rsidRPr="00E605D4">
        <w:rPr>
          <w:color w:val="auto"/>
        </w:rPr>
        <w:t>meltpools</w:t>
      </w:r>
      <w:proofErr w:type="spellEnd"/>
      <w:r w:rsidRPr="00E605D4">
        <w:rPr>
          <w:color w:val="auto"/>
        </w:rPr>
        <w:t>, analogous to that seen in casting and welding, which generates spherical pores and (2) irregular morphology lack-of-fusion (</w:t>
      </w:r>
      <w:proofErr w:type="spellStart"/>
      <w:r w:rsidRPr="00E605D4">
        <w:rPr>
          <w:color w:val="auto"/>
        </w:rPr>
        <w:t>LoF</w:t>
      </w:r>
      <w:proofErr w:type="spellEnd"/>
      <w:r w:rsidRPr="00E605D4">
        <w:rPr>
          <w:color w:val="auto"/>
        </w:rPr>
        <w:t xml:space="preserve">) pores, which are formed due to incomplete fusion between layers or adjacent </w:t>
      </w:r>
      <w:proofErr w:type="spellStart"/>
      <w:r w:rsidRPr="00E605D4">
        <w:rPr>
          <w:color w:val="auto"/>
        </w:rPr>
        <w:t>meltpools</w:t>
      </w:r>
      <w:proofErr w:type="spellEnd"/>
      <w:r w:rsidRPr="00E605D4">
        <w:rPr>
          <w:color w:val="auto"/>
        </w:rPr>
        <w:t xml:space="preserve"> on the same layer along the heat source scanning path, and which can have sharp features. </w:t>
      </w:r>
      <w:proofErr w:type="spellStart"/>
      <w:r w:rsidRPr="00E605D4">
        <w:rPr>
          <w:color w:val="auto"/>
        </w:rPr>
        <w:t>LoF</w:t>
      </w:r>
      <w:proofErr w:type="spellEnd"/>
      <w:r w:rsidRPr="00E605D4">
        <w:rPr>
          <w:color w:val="auto"/>
        </w:rPr>
        <w:t xml:space="preserve"> pores are of primary interest in AM because of their significantly more detrimental influence on material ductility compared to spherical pores </w:t>
      </w:r>
      <w:r w:rsidRPr="00E605D4">
        <w:rPr>
          <w:color w:val="auto"/>
        </w:rPr>
        <w:fldChar w:fldCharType="begin" w:fldLock="1"/>
      </w:r>
      <w:r w:rsidRPr="00E605D4">
        <w:rPr>
          <w:color w:val="auto"/>
        </w:rPr>
        <w:instrText>ADDIN CSL_CITATION {"citationItems":[{"id":"ITEM-1","itemData":{"DOI":"10.1016/j.matdes.2020.108481","ISSN":"0264-1275","author":[{"dropping-particle":"","family":"Ronneberg","given":"Tobias","non-dropping-particle":"","parse-names":false,"suffix":""},{"dropping-particle":"","family":"Davies","given":"Catrin M","non-dropping-particle":"","parse-names":false,"suffix":""},{"dropping-particle":"","family":"Hooper","given":"Paul A","non-dropping-particle":"","parse-names":false,"suffix":""}],"container-title":"Materials &amp; Design","id":"ITEM-1","issued":{"date-parts":[["2020"]]},"note":"Anisotropic yield behaviour was found to be caused by microstructural features alone and not influenced by porosity.\n\nductility and failure were dominated by lack of fusion porosity - aligmnet between pores\n\nThree strengthening mechanisms in as-built material were identified as grain boundaries, chemical segregation and dislocation density","publisher":"Elsevier Ltd","title":"Revealing relationships between porosity, microstructure and mechanical properties of laser powder bed fusion 316L stainless steel through heat treatment","type":"article-journal"},"uris":["http://www.mendeley.com/documents/?uuid=373af678-dae9-4374-a1e9-e32804298769"]}],"mendeley":{"formattedCitation":"[11]","plainTextFormattedCitation":"[11]","previouslyFormattedCitation":"[10]"},"properties":{"noteIndex":0},"schema":"https://github.com/citation-style-language/schema/raw/master/csl-citation.json"}</w:instrText>
      </w:r>
      <w:r w:rsidRPr="00E605D4">
        <w:rPr>
          <w:color w:val="auto"/>
        </w:rPr>
        <w:fldChar w:fldCharType="separate"/>
      </w:r>
      <w:r w:rsidRPr="00E605D4">
        <w:rPr>
          <w:noProof/>
          <w:color w:val="auto"/>
        </w:rPr>
        <w:t>[11]</w:t>
      </w:r>
      <w:r w:rsidRPr="00E605D4">
        <w:rPr>
          <w:color w:val="auto"/>
        </w:rPr>
        <w:fldChar w:fldCharType="end"/>
      </w:r>
      <w:r w:rsidRPr="00E605D4">
        <w:rPr>
          <w:color w:val="auto"/>
        </w:rPr>
        <w:t>.</w:t>
      </w:r>
    </w:p>
    <w:p w14:paraId="67177886" w14:textId="14CC12FC" w:rsidR="00257B12" w:rsidRPr="00690745" w:rsidRDefault="00257B12" w:rsidP="000676A0">
      <w:pPr>
        <w:pStyle w:val="MDPI31text"/>
        <w:rPr>
          <w:color w:val="auto"/>
        </w:rPr>
      </w:pPr>
      <w:r w:rsidRPr="00E605D4">
        <w:rPr>
          <w:color w:val="auto"/>
        </w:rPr>
        <w:t xml:space="preserve">In addition to pores having a harmful effect on the fracture behavior of ductile metals, stress state is also known to play an important role in fracture </w:t>
      </w:r>
      <w:r w:rsidRPr="00E605D4">
        <w:rPr>
          <w:color w:val="auto"/>
        </w:rPr>
        <w:fldChar w:fldCharType="begin" w:fldLock="1"/>
      </w:r>
      <w:r w:rsidRPr="00E605D4">
        <w:rPr>
          <w:color w:val="auto"/>
        </w:rPr>
        <w:instrText>ADDIN CSL_CITATION {"citationItems":[{"id":"ITEM-1","itemData":{"DOI":"10.1016/0022-5096(84)90031-0","ISSN":"00225096","abstract":"Ductile fracture in axisymmetric and plane strain notched tensile specimens is analyzed numerically, based on a set of elastic-plastic constitutive relations that account for the nucleation and growth of microvoids. Final material failure by void coalescence is incorporated into the constitutive model via the dependence of the yield function on the void volume fraction. In the analyses the material has no voids initially; but as the voids nucleate and grow, the resultant dilatancy and pressure sensitivity of the macroscopic plastic flow influence the solution significantly. Considering both a blunt notch geometry and a sharp notch geometry in the computations permits a study of the relative roles of high strain and high triaxiality on failure. Comparison is made with published experimental results for notched tensile specimens of high-strength steels. All axisymmetric specimens analyzed fail at the center of the notched section, whereas failure initiation at the surface is found in plane strain specimens with sharp notches, in agreement with the experiments. The results for different specimens are used to investigate the circumstances under which fracture initiation can be represented by a single failure locus in a plot of stress triaxiality vs effective plastic strain. © 1984.","author":[{"dropping-particle":"","family":"Needleman","given":"A.","non-dropping-particle":"","parse-names":false,"suffix":""},{"dropping-particle":"","family":"Tvergaard","given":"V.","non-dropping-particle":"","parse-names":false,"suffix":""}],"container-title":"Journal of the Mechanics and Physics of Solids","id":"ITEM-1","issue":"6","issued":{"date-parts":[["1984"]]},"page":"461-490","title":"An analysis of ductile rupture in notched bars","type":"article-journal","volume":"32"},"uris":["http://www.mendeley.com/documents/?uuid=a3142119-b64d-4750-8d84-07cc43e4473f"]},{"id":"ITEM-2","itemData":{"DOI":"10.1016/j.ijplas.2007.09.004","ISSN":"07496419","abstract":"Classical metal plasticity theory assumes that the hydrostatic pressure has no or negligible effect on the material strain hardening, and that the flow stress is independent of the third deviatoric stress invariant (or Lode angle parameter). However, recent experiments on metals have shown that both the pressure effect and the effect of the third deviatoric stress invariant should be included in the constitutive description of the material. A general form of asymmetric metal plasticity, considering both the pressure sensitivity and the Lode dependence, is postulated. The calibration method for the new metal plasticity is discussed. Experimental results on aluminum 2024-T351 are shown to validate the new material model. From the similarity between yielding surface and fracture locus, a new 3D asymmetric fracture locus, in the space of equivalent fracture strain, stress triaxiality and the Lode angle parameter, is postulated. Two methods of calibration of the fracture locus are discussed. One is based on classical round specimens and flat specimens in uniaxial tests, and the other one uses the newly designed butterfly specimen under biaxial testing. Test results of Bao (2003) [Bao, Y., 2003. Prediction of ductile crack formation in uncracked bodies. PhD Thesis, Massachusetts Institute of Technology] on aluminum 2024-T351, and test data points of A710 steel from butterfly specimens under biaxial testing validated the postulated asymmetric 3D fracture locus.","author":[{"dropping-particle":"","family":"Bai","given":"Yuanli","non-dropping-particle":"","parse-names":false,"suffix":""},{"dropping-particle":"","family":"Wierzbicki","given":"Tomasz","non-dropping-particle":"","parse-names":false,"suffix":""}],"container-title":"International Journal of Plasticity","id":"ITEM-2","issue":"6","issued":{"date-parts":[["2008"]]},"page":"1071-1096","title":"A new model of metal plasticity and fracture with pressure and Lode dependence","type":"article-journal","volume":"24"},"uris":["http://www.mendeley.com/documents/?uuid=b72feede-dbee-3b13-aae4-5f769f3e5ad1"]},{"id":"ITEM-3","itemData":{"DOI":"10.1016/j.ijsolstr.2015.02.024","ISBN":"0020-7683","ISSN":"00207683","abstract":"A phenomenological ductile fracture initiation model for metals is developed for predicting ductile fracture in industrial practice. Its formulation is based on the assumption that the onset of fracture is imminent with the formation of a primary or secondary band of localization. The results from a unit cell analysis on a Levy-von Mises material with spherical defects revealed that a Mohr-Coulomb type of model is suitable for predicting the onset of shear and normal localization. To improve the agreement of the model predictions with experimental results, an extended Mohr-Coulomb criterion is proposed which makes use of the Hosford equivalent stress in combination with the normal stress acting on the plane of maximum shear. A fracture initiation model is obtained by transforming the localization criterion from stress space to the space of equivalent plastic strain, stress triaxiality and Lode angle parameter using the material's isotropic hardening law. Experimental results are presented for three different advanced high strength steels. For each material, the onset of fracture is characterized for five distinct stress states including butterfly shear, notched tension, tension with a central hole and punch experiments. The comparison of model predictions with the experimental results demonstrates that the proposed Hosford-Coulomb model can predict the instant of ductile fracture initiation in advanced high strength steels with good accuracy.","author":[{"dropping-particle":"","family":"Mohr","given":"Dirk","non-dropping-particle":"","parse-names":false,"suffix":""},{"dropping-particle":"","family":"Marcadet","given":"Stephane J.","non-dropping-particle":"","parse-names":false,"suffix":""}],"container-title":"International Journal of Solids and Structures","id":"ITEM-3","issued":{"date-parts":[["2015"]]},"page":"40-55","publisher":"Elsevier Ltd","title":"Micromechanically-motivated phenomenological Hosford-Coulomb model for predicting ductile fracture initiation at low stress triaxialities","type":"article-journal","volume":"67-68"},"uris":["http://www.mendeley.com/documents/?uuid=1b8c4868-cf00-4f48-98dc-6b3eb9b3bcc0"]}],"mendeley":{"formattedCitation":"[12–14]","plainTextFormattedCitation":"[12–14]","previouslyFormattedCitation":"[11–13]"},"properties":{"noteIndex":0},"schema":"https://github.com/citation-style-language/schema/raw/master/csl-citation.json"}</w:instrText>
      </w:r>
      <w:r w:rsidRPr="00E605D4">
        <w:rPr>
          <w:color w:val="auto"/>
        </w:rPr>
        <w:fldChar w:fldCharType="separate"/>
      </w:r>
      <w:r w:rsidRPr="00E605D4">
        <w:rPr>
          <w:noProof/>
          <w:color w:val="auto"/>
        </w:rPr>
        <w:t>[12–14]</w:t>
      </w:r>
      <w:r w:rsidRPr="00E605D4">
        <w:rPr>
          <w:color w:val="auto"/>
        </w:rPr>
        <w:fldChar w:fldCharType="end"/>
      </w:r>
      <w:r w:rsidRPr="00E605D4">
        <w:rPr>
          <w:color w:val="auto"/>
        </w:rPr>
        <w:t>.</w:t>
      </w:r>
      <w:r w:rsidR="000676A0" w:rsidRPr="00E605D4">
        <w:rPr>
          <w:color w:val="auto"/>
        </w:rPr>
        <w:t xml:space="preserve"> </w:t>
      </w:r>
      <w:r w:rsidRPr="00E605D4">
        <w:rPr>
          <w:color w:val="auto"/>
        </w:rPr>
        <w:t xml:space="preserve">Stress state can be defined using the two </w:t>
      </w:r>
      <w:r w:rsidRPr="00690745">
        <w:rPr>
          <w:color w:val="auto"/>
        </w:rPr>
        <w:t>parameters stress triaxiality (</w:t>
      </w:r>
      <w:r w:rsidRPr="00391C21">
        <w:rPr>
          <w:i/>
          <w:iCs/>
          <w:color w:val="auto"/>
        </w:rPr>
        <w:t>η</w:t>
      </w:r>
      <w:r w:rsidRPr="00690745">
        <w:rPr>
          <w:color w:val="auto"/>
        </w:rPr>
        <w:t>) and Lode angle parameter (</w:t>
      </w:r>
      <m:oMath>
        <m:acc>
          <m:accPr>
            <m:chr m:val="̅"/>
            <m:ctrlPr>
              <w:rPr>
                <w:rFonts w:ascii="Cambria Math" w:hAnsi="Cambria Math"/>
                <w:color w:val="auto"/>
              </w:rPr>
            </m:ctrlPr>
          </m:accPr>
          <m:e>
            <m:r>
              <w:rPr>
                <w:rFonts w:ascii="Cambria Math" w:hAnsi="Cambria Math"/>
                <w:color w:val="auto"/>
              </w:rPr>
              <m:t>θ</m:t>
            </m:r>
          </m:e>
        </m:acc>
      </m:oMath>
      <w:r w:rsidRPr="00690745">
        <w:rPr>
          <w:color w:val="auto"/>
        </w:rPr>
        <w:t>). The stress triaxiality is the ratio of the mean stress (</w:t>
      </w:r>
      <m:oMath>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m</m:t>
            </m:r>
          </m:sub>
        </m:sSub>
        <m:r>
          <m:rPr>
            <m:sty m:val="p"/>
          </m:rPr>
          <w:rPr>
            <w:rFonts w:ascii="Cambria Math" w:hAnsi="Cambria Math"/>
            <w:color w:val="auto"/>
          </w:rPr>
          <m:t>)</m:t>
        </m:r>
      </m:oMath>
      <w:r w:rsidRPr="00690745">
        <w:rPr>
          <w:color w:val="auto"/>
        </w:rPr>
        <w:t xml:space="preserve"> and von Mises equivalent stress (</w:t>
      </w:r>
      <m:oMath>
        <m:sSub>
          <m:sSubPr>
            <m:ctrlPr>
              <w:rPr>
                <w:rFonts w:ascii="Cambria Math" w:hAnsi="Cambria Math"/>
                <w:color w:val="auto"/>
              </w:rPr>
            </m:ctrlPr>
          </m:sSubPr>
          <m:e>
            <m:acc>
              <m:accPr>
                <m:chr m:val="̅"/>
                <m:ctrlPr>
                  <w:rPr>
                    <w:rFonts w:ascii="Cambria Math" w:hAnsi="Cambria Math"/>
                    <w:color w:val="auto"/>
                  </w:rPr>
                </m:ctrlPr>
              </m:accPr>
              <m:e>
                <m:r>
                  <w:rPr>
                    <w:rFonts w:ascii="Cambria Math" w:hAnsi="Cambria Math"/>
                    <w:color w:val="auto"/>
                  </w:rPr>
                  <m:t>σ</m:t>
                </m:r>
              </m:e>
            </m:acc>
          </m:e>
          <m:sub>
            <m:r>
              <w:rPr>
                <w:rFonts w:ascii="Cambria Math" w:hAnsi="Cambria Math"/>
                <w:color w:val="auto"/>
              </w:rPr>
              <m:t>VM</m:t>
            </m:r>
          </m:sub>
        </m:sSub>
        <m:r>
          <m:rPr>
            <m:sty m:val="p"/>
          </m:rPr>
          <w:rPr>
            <w:rFonts w:ascii="Cambria Math" w:hAnsi="Cambria Math"/>
            <w:color w:val="auto"/>
          </w:rPr>
          <m:t>)</m:t>
        </m:r>
      </m:oMath>
      <w:r w:rsidR="00383D7F">
        <w:rPr>
          <w:color w:val="auto"/>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4DA1B4AF" w14:textId="77777777" w:rsidTr="0017359C">
        <w:trPr>
          <w:trHeight w:val="340"/>
        </w:trPr>
        <w:tc>
          <w:tcPr>
            <w:tcW w:w="7426" w:type="dxa"/>
            <w:shd w:val="clear" w:color="auto" w:fill="auto"/>
            <w:vAlign w:val="center"/>
          </w:tcPr>
          <w:p w14:paraId="0A7796B5" w14:textId="77777777" w:rsidR="00257B12" w:rsidRPr="00690745" w:rsidRDefault="00257B12" w:rsidP="0017359C">
            <w:pPr>
              <w:tabs>
                <w:tab w:val="left" w:pos="720"/>
                <w:tab w:val="center" w:pos="4680"/>
                <w:tab w:val="right" w:pos="9000"/>
              </w:tabs>
              <w:spacing w:before="120" w:after="120"/>
              <w:ind w:left="706"/>
              <w:jc w:val="center"/>
              <w:rPr>
                <w:rFonts w:eastAsia="DengXian"/>
                <w:color w:val="auto"/>
              </w:rPr>
            </w:pPr>
            <m:oMath>
              <m:r>
                <w:rPr>
                  <w:rFonts w:ascii="Cambria Math" w:hAnsi="Cambria Math"/>
                  <w:color w:val="auto"/>
                </w:rPr>
                <m:t>η=</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m</m:t>
                      </m:r>
                    </m:sub>
                  </m:sSub>
                </m:num>
                <m:den>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den>
              </m:f>
            </m:oMath>
            <w:r w:rsidRPr="00690745">
              <w:rPr>
                <w:rFonts w:eastAsia="DengXian"/>
                <w:color w:val="auto"/>
              </w:rPr>
              <w:t xml:space="preserve"> with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m</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3</m:t>
                  </m:r>
                </m:den>
              </m:f>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1</m:t>
                  </m:r>
                </m:sub>
              </m:sSub>
            </m:oMath>
            <w:r w:rsidRPr="00690745">
              <w:rPr>
                <w:rFonts w:eastAsia="DengXian"/>
                <w:color w:val="auto"/>
              </w:rPr>
              <w:t xml:space="preserve"> and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r>
                <w:rPr>
                  <w:rFonts w:ascii="Cambria Math" w:hAnsi="Cambria Math"/>
                  <w:color w:val="auto"/>
                </w:rPr>
                <m:t>=</m:t>
              </m:r>
              <m:rad>
                <m:radPr>
                  <m:degHide m:val="1"/>
                  <m:ctrlPr>
                    <w:rPr>
                      <w:rFonts w:ascii="Cambria Math" w:hAnsi="Cambria Math"/>
                      <w:i/>
                      <w:color w:val="auto"/>
                    </w:rPr>
                  </m:ctrlPr>
                </m:radPr>
                <m:deg/>
                <m:e>
                  <m:r>
                    <w:rPr>
                      <w:rFonts w:ascii="Cambria Math" w:hAnsi="Cambria Math"/>
                      <w:color w:val="auto"/>
                    </w:rPr>
                    <m:t>3</m:t>
                  </m:r>
                  <m:sSub>
                    <m:sSubPr>
                      <m:ctrlPr>
                        <w:rPr>
                          <w:rFonts w:ascii="Cambria Math" w:hAnsi="Cambria Math"/>
                          <w:i/>
                          <w:color w:val="auto"/>
                        </w:rPr>
                      </m:ctrlPr>
                    </m:sSubPr>
                    <m:e>
                      <m:r>
                        <w:rPr>
                          <w:rFonts w:ascii="Cambria Math" w:hAnsi="Cambria Math"/>
                          <w:color w:val="auto"/>
                        </w:rPr>
                        <m:t>J</m:t>
                      </m:r>
                    </m:e>
                    <m:sub>
                      <m:r>
                        <w:rPr>
                          <w:rFonts w:ascii="Cambria Math" w:hAnsi="Cambria Math"/>
                          <w:color w:val="auto"/>
                        </w:rPr>
                        <m:t>2</m:t>
                      </m:r>
                    </m:sub>
                  </m:sSub>
                </m:e>
              </m:rad>
            </m:oMath>
          </w:p>
        </w:tc>
        <w:tc>
          <w:tcPr>
            <w:tcW w:w="430" w:type="dxa"/>
            <w:shd w:val="clear" w:color="auto" w:fill="auto"/>
            <w:vAlign w:val="center"/>
          </w:tcPr>
          <w:p w14:paraId="28DD520E" w14:textId="716EEB6E" w:rsidR="00257B12" w:rsidRPr="00690745" w:rsidRDefault="00257B12" w:rsidP="0017359C">
            <w:pPr>
              <w:tabs>
                <w:tab w:val="left" w:pos="720"/>
                <w:tab w:val="center" w:pos="4680"/>
                <w:tab w:val="right" w:pos="9000"/>
              </w:tabs>
              <w:spacing w:before="120" w:after="120"/>
              <w:jc w:val="right"/>
              <w:rPr>
                <w:rFonts w:eastAsia="DengXian"/>
                <w:color w:val="auto"/>
              </w:rPr>
            </w:pPr>
            <w:r w:rsidRPr="00690745">
              <w:rPr>
                <w:rFonts w:eastAsia="DengXian"/>
                <w:color w:val="auto"/>
              </w:rPr>
              <w:t>(</w:t>
            </w:r>
            <w:r w:rsidRPr="00690745">
              <w:rPr>
                <w:rFonts w:eastAsia="DengXian"/>
                <w:color w:val="auto"/>
              </w:rPr>
              <w:fldChar w:fldCharType="begin"/>
            </w:r>
            <w:r w:rsidRPr="00690745">
              <w:rPr>
                <w:rFonts w:eastAsia="DengXian"/>
                <w:color w:val="auto"/>
              </w:rPr>
              <w:instrText xml:space="preserve"> seq EquationSeq \* \Arabic </w:instrText>
            </w:r>
            <w:r w:rsidRPr="00690745">
              <w:rPr>
                <w:rFonts w:eastAsia="DengXian"/>
                <w:color w:val="auto"/>
              </w:rPr>
              <w:fldChar w:fldCharType="separate"/>
            </w:r>
            <w:r w:rsidR="00794EC3">
              <w:rPr>
                <w:rFonts w:eastAsia="DengXian"/>
                <w:color w:val="auto"/>
              </w:rPr>
              <w:t>1</w:t>
            </w:r>
            <w:r w:rsidRPr="00690745">
              <w:rPr>
                <w:rFonts w:eastAsia="DengXian"/>
                <w:color w:val="auto"/>
              </w:rPr>
              <w:fldChar w:fldCharType="end"/>
            </w:r>
            <w:r w:rsidRPr="00690745">
              <w:rPr>
                <w:rFonts w:eastAsia="DengXian"/>
                <w:color w:val="auto"/>
              </w:rPr>
              <w:t>)</w:t>
            </w:r>
          </w:p>
        </w:tc>
      </w:tr>
    </w:tbl>
    <w:p w14:paraId="4F9D6FFF" w14:textId="2B085877" w:rsidR="00257B12" w:rsidRPr="00690745" w:rsidRDefault="00257B12" w:rsidP="000676A0">
      <w:pPr>
        <w:pStyle w:val="MDPI32textnoindent"/>
        <w:rPr>
          <w:rFonts w:eastAsia="DengXian"/>
          <w:color w:val="auto"/>
        </w:rPr>
      </w:pPr>
      <w:r w:rsidRPr="00690745">
        <w:rPr>
          <w:rFonts w:eastAsia="DengXian"/>
          <w:color w:val="auto"/>
        </w:rPr>
        <w:t>where I</w:t>
      </w:r>
      <w:r w:rsidRPr="00690745">
        <w:rPr>
          <w:rFonts w:eastAsia="DengXian"/>
          <w:color w:val="auto"/>
          <w:vertAlign w:val="subscript"/>
        </w:rPr>
        <w:t>1</w:t>
      </w:r>
      <w:r w:rsidR="00564933" w:rsidRPr="00690745">
        <w:rPr>
          <w:rFonts w:eastAsia="DengXian"/>
          <w:color w:val="auto"/>
        </w:rPr>
        <w:t xml:space="preserve"> </w:t>
      </w:r>
      <w:r w:rsidRPr="00690745">
        <w:rPr>
          <w:rFonts w:eastAsia="DengXian"/>
          <w:color w:val="auto"/>
        </w:rPr>
        <w:t>=</w:t>
      </w:r>
      <w:r w:rsidR="00564933" w:rsidRPr="00690745">
        <w:rPr>
          <w:rFonts w:eastAsia="DengXian"/>
          <w:color w:val="auto"/>
        </w:rPr>
        <w:t xml:space="preserve"> </w:t>
      </w:r>
      <w:proofErr w:type="spellStart"/>
      <w:r w:rsidRPr="00690745">
        <w:rPr>
          <w:rFonts w:eastAsia="DengXian"/>
          <w:color w:val="auto"/>
        </w:rPr>
        <w:t>σ</w:t>
      </w:r>
      <w:r w:rsidRPr="00690745">
        <w:rPr>
          <w:rFonts w:eastAsia="DengXian"/>
          <w:color w:val="auto"/>
          <w:vertAlign w:val="subscript"/>
        </w:rPr>
        <w:t>kk</w:t>
      </w:r>
      <w:proofErr w:type="spellEnd"/>
      <w:r w:rsidRPr="00690745">
        <w:rPr>
          <w:rFonts w:eastAsia="DengXian"/>
          <w:color w:val="auto"/>
        </w:rPr>
        <w:t xml:space="preserve"> is the first invariant of the stress tensor, </w:t>
      </w:r>
      <m:oMath>
        <m:r>
          <m:rPr>
            <m:sty m:val="bi"/>
          </m:rPr>
          <w:rPr>
            <w:rFonts w:ascii="Cambria Math" w:hAnsi="Cambria Math"/>
            <w:color w:val="auto"/>
          </w:rPr>
          <m:t>σ,</m:t>
        </m:r>
      </m:oMath>
      <w:r w:rsidRPr="00690745">
        <w:rPr>
          <w:rFonts w:eastAsia="DengXian"/>
          <w:b/>
          <w:color w:val="auto"/>
        </w:rPr>
        <w:t xml:space="preserve"> </w:t>
      </w:r>
      <w:r w:rsidRPr="00690745">
        <w:rPr>
          <w:rFonts w:eastAsia="DengXian"/>
          <w:bCs/>
          <w:color w:val="auto"/>
        </w:rPr>
        <w:t xml:space="preserve">and </w:t>
      </w:r>
      <w:r w:rsidRPr="00690745">
        <w:rPr>
          <w:rFonts w:eastAsia="DengXian"/>
          <w:color w:val="auto"/>
        </w:rPr>
        <w:t>J</w:t>
      </w:r>
      <w:r w:rsidRPr="00690745">
        <w:rPr>
          <w:rFonts w:eastAsia="DengXian"/>
          <w:color w:val="auto"/>
          <w:vertAlign w:val="subscript"/>
        </w:rPr>
        <w:t>2</w:t>
      </w:r>
      <m:oMath>
        <m:r>
          <w:rPr>
            <w:rFonts w:ascii="Cambria Math" w:eastAsia="DengXian" w:hAnsi="Cambria Math"/>
            <w:color w:val="auto"/>
            <w:vertAlign w:val="subscript"/>
          </w:rPr>
          <m:t xml:space="preserve"> =</m:t>
        </m: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ij</m:t>
            </m:r>
          </m:sub>
        </m:sSub>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ij</m:t>
            </m:r>
          </m:sub>
        </m:sSub>
      </m:oMath>
      <w:r w:rsidRPr="00690745">
        <w:rPr>
          <w:rFonts w:eastAsia="DengXian"/>
          <w:color w:val="auto"/>
        </w:rPr>
        <w:t xml:space="preserve"> is the second invariant of the deviatoric stress tensor</w:t>
      </w:r>
      <w:r w:rsidRPr="00690745">
        <w:rPr>
          <w:color w:val="auto"/>
        </w:rPr>
        <w:t xml:space="preserve">, </w:t>
      </w:r>
      <w:r w:rsidRPr="00690745">
        <w:rPr>
          <w:b/>
          <w:i/>
          <w:color w:val="auto"/>
        </w:rPr>
        <w:t>s</w:t>
      </w:r>
      <w:r w:rsidRPr="00690745">
        <w:rPr>
          <w:color w:val="auto"/>
        </w:rPr>
        <w:t xml:space="preserve">. </w:t>
      </w:r>
      <w:r w:rsidRPr="00690745">
        <w:rPr>
          <w:rFonts w:eastAsia="DengXian"/>
          <w:color w:val="auto"/>
        </w:rPr>
        <w:t>The normalized Lode angle parameter is a function of the third invariant of the deviatoric stress tensor, J</w:t>
      </w:r>
      <w:r w:rsidRPr="00690745">
        <w:rPr>
          <w:rFonts w:eastAsia="DengXian"/>
          <w:color w:val="auto"/>
          <w:vertAlign w:val="subscript"/>
        </w:rPr>
        <w:t>3</w:t>
      </w:r>
      <m:oMath>
        <m:r>
          <w:rPr>
            <w:rFonts w:ascii="Cambria Math" w:eastAsia="DengXian" w:hAnsi="Cambria Math"/>
            <w:color w:val="auto"/>
            <w:vertAlign w:val="subscript"/>
          </w:rPr>
          <m:t xml:space="preserve"> =</m:t>
        </m:r>
        <m:r>
          <w:rPr>
            <w:rFonts w:ascii="Cambria Math" w:hAnsi="Cambria Math"/>
            <w:color w:val="auto"/>
          </w:rPr>
          <m:t>det</m:t>
        </m:r>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s</m:t>
                </m:r>
              </m:e>
              <m:sub>
                <m:r>
                  <w:rPr>
                    <w:rFonts w:ascii="Cambria Math" w:hAnsi="Cambria Math"/>
                    <w:color w:val="auto"/>
                  </w:rPr>
                  <m:t>ij</m:t>
                </m:r>
              </m:sub>
            </m:sSub>
          </m:e>
        </m:d>
      </m:oMath>
      <w:r w:rsidRPr="00690745">
        <w:rPr>
          <w:rFonts w:eastAsia="DengXian"/>
          <w:color w:val="auto"/>
        </w:rPr>
        <w:t>, and is defined as:</w:t>
      </w:r>
    </w:p>
    <w:tbl>
      <w:tblPr>
        <w:tblW w:w="7856"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07665C9A" w14:textId="77777777" w:rsidTr="00383D7F">
        <w:trPr>
          <w:trHeight w:val="340"/>
        </w:trPr>
        <w:tc>
          <w:tcPr>
            <w:tcW w:w="7426" w:type="dxa"/>
            <w:shd w:val="clear" w:color="auto" w:fill="auto"/>
            <w:vAlign w:val="center"/>
          </w:tcPr>
          <w:p w14:paraId="65DE5BFB" w14:textId="77777777" w:rsidR="00257B12" w:rsidRPr="00690745" w:rsidRDefault="009F29D0" w:rsidP="0017359C">
            <w:pPr>
              <w:tabs>
                <w:tab w:val="left" w:pos="720"/>
                <w:tab w:val="center" w:pos="4680"/>
                <w:tab w:val="right" w:pos="9000"/>
              </w:tabs>
              <w:spacing w:before="120" w:after="120"/>
              <w:ind w:left="706"/>
              <w:jc w:val="center"/>
              <w:rPr>
                <w:rFonts w:eastAsia="DengXian"/>
                <w:color w:val="auto"/>
              </w:rPr>
            </w:pPr>
            <m:oMath>
              <m:acc>
                <m:accPr>
                  <m:chr m:val="̅"/>
                  <m:ctrlPr>
                    <w:rPr>
                      <w:rFonts w:ascii="Cambria Math" w:eastAsia="DengXian" w:hAnsi="Cambria Math"/>
                      <w:color w:val="auto"/>
                    </w:rPr>
                  </m:ctrlPr>
                </m:accPr>
                <m:e>
                  <m:r>
                    <w:rPr>
                      <w:rFonts w:ascii="Cambria Math" w:eastAsia="DengXian" w:hAnsi="Cambria Math"/>
                      <w:color w:val="auto"/>
                    </w:rPr>
                    <m:t>θ</m:t>
                  </m:r>
                </m:e>
              </m:acc>
              <m:r>
                <m:rPr>
                  <m:sty m:val="p"/>
                </m:rPr>
                <w:rPr>
                  <w:rFonts w:ascii="Cambria Math" w:eastAsia="DengXian" w:hAnsi="Cambria Math"/>
                  <w:color w:val="auto"/>
                </w:rPr>
                <m:t>=1-</m:t>
              </m:r>
              <m:f>
                <m:fPr>
                  <m:ctrlPr>
                    <w:rPr>
                      <w:rFonts w:ascii="Cambria Math" w:eastAsia="DengXian" w:hAnsi="Cambria Math"/>
                      <w:color w:val="auto"/>
                    </w:rPr>
                  </m:ctrlPr>
                </m:fPr>
                <m:num>
                  <m:r>
                    <m:rPr>
                      <m:sty m:val="p"/>
                    </m:rPr>
                    <w:rPr>
                      <w:rFonts w:ascii="Cambria Math" w:eastAsia="DengXian" w:hAnsi="Cambria Math"/>
                      <w:color w:val="auto"/>
                    </w:rPr>
                    <m:t>2</m:t>
                  </m:r>
                </m:num>
                <m:den>
                  <m:r>
                    <w:rPr>
                      <w:rFonts w:ascii="Cambria Math" w:eastAsia="DengXian" w:hAnsi="Cambria Math"/>
                      <w:color w:val="auto"/>
                    </w:rPr>
                    <m:t>π</m:t>
                  </m:r>
                </m:den>
              </m:f>
              <m:r>
                <w:rPr>
                  <w:rFonts w:ascii="Cambria Math" w:eastAsia="DengXian" w:hAnsi="Cambria Math"/>
                  <w:color w:val="auto"/>
                </w:rPr>
                <m:t>arccos</m:t>
              </m:r>
              <m:d>
                <m:dPr>
                  <m:begChr m:val="["/>
                  <m:endChr m:val="]"/>
                  <m:ctrlPr>
                    <w:rPr>
                      <w:rFonts w:ascii="Cambria Math" w:eastAsia="DengXian" w:hAnsi="Cambria Math"/>
                      <w:color w:val="auto"/>
                    </w:rPr>
                  </m:ctrlPr>
                </m:dPr>
                <m:e>
                  <m:f>
                    <m:fPr>
                      <m:ctrlPr>
                        <w:rPr>
                          <w:rFonts w:ascii="Cambria Math" w:eastAsia="DengXian" w:hAnsi="Cambria Math"/>
                          <w:color w:val="auto"/>
                        </w:rPr>
                      </m:ctrlPr>
                    </m:fPr>
                    <m:num>
                      <m:r>
                        <m:rPr>
                          <m:sty m:val="p"/>
                        </m:rPr>
                        <w:rPr>
                          <w:rFonts w:ascii="Cambria Math" w:eastAsia="DengXian" w:hAnsi="Cambria Math"/>
                          <w:color w:val="auto"/>
                        </w:rPr>
                        <m:t>27</m:t>
                      </m:r>
                    </m:num>
                    <m:den>
                      <m:r>
                        <m:rPr>
                          <m:sty m:val="p"/>
                        </m:rPr>
                        <w:rPr>
                          <w:rFonts w:ascii="Cambria Math" w:eastAsia="DengXian" w:hAnsi="Cambria Math"/>
                          <w:color w:val="auto"/>
                        </w:rPr>
                        <m:t>2</m:t>
                      </m:r>
                    </m:den>
                  </m:f>
                  <m:f>
                    <m:fPr>
                      <m:ctrlPr>
                        <w:rPr>
                          <w:rFonts w:ascii="Cambria Math" w:eastAsia="DengXian" w:hAnsi="Cambria Math"/>
                          <w:color w:val="auto"/>
                        </w:rPr>
                      </m:ctrlPr>
                    </m:fPr>
                    <m:num>
                      <m:sSub>
                        <m:sSubPr>
                          <m:ctrlPr>
                            <w:rPr>
                              <w:rFonts w:ascii="Cambria Math" w:eastAsia="DengXian" w:hAnsi="Cambria Math"/>
                              <w:color w:val="auto"/>
                            </w:rPr>
                          </m:ctrlPr>
                        </m:sSubPr>
                        <m:e>
                          <m:r>
                            <w:rPr>
                              <w:rFonts w:ascii="Cambria Math" w:eastAsia="DengXian" w:hAnsi="Cambria Math"/>
                              <w:color w:val="auto"/>
                            </w:rPr>
                            <m:t>J</m:t>
                          </m:r>
                        </m:e>
                        <m:sub>
                          <m:r>
                            <m:rPr>
                              <m:sty m:val="p"/>
                            </m:rPr>
                            <w:rPr>
                              <w:rFonts w:ascii="Cambria Math" w:eastAsia="DengXian" w:hAnsi="Cambria Math"/>
                              <w:color w:val="auto"/>
                            </w:rPr>
                            <m:t>3</m:t>
                          </m:r>
                        </m:sub>
                      </m:sSub>
                    </m:num>
                    <m:den>
                      <m:sSubSup>
                        <m:sSubSupPr>
                          <m:ctrlPr>
                            <w:rPr>
                              <w:rFonts w:ascii="Cambria Math" w:eastAsia="DengXian" w:hAnsi="Cambria Math"/>
                              <w:color w:val="auto"/>
                            </w:rPr>
                          </m:ctrlPr>
                        </m:sSubSupPr>
                        <m:e>
                          <m:acc>
                            <m:accPr>
                              <m:chr m:val="̅"/>
                              <m:ctrlPr>
                                <w:rPr>
                                  <w:rFonts w:ascii="Cambria Math" w:eastAsia="DengXian" w:hAnsi="Cambria Math"/>
                                  <w:i/>
                                  <w:color w:val="auto"/>
                                </w:rPr>
                              </m:ctrlPr>
                            </m:accPr>
                            <m:e>
                              <m:r>
                                <w:rPr>
                                  <w:rFonts w:ascii="Cambria Math" w:eastAsia="DengXian" w:hAnsi="Cambria Math"/>
                                  <w:color w:val="auto"/>
                                </w:rPr>
                                <m:t>σ</m:t>
                              </m:r>
                            </m:e>
                          </m:acc>
                        </m:e>
                        <m:sub>
                          <m:r>
                            <w:rPr>
                              <w:rFonts w:ascii="Cambria Math" w:eastAsia="DengXian" w:hAnsi="Cambria Math"/>
                              <w:color w:val="auto"/>
                            </w:rPr>
                            <m:t>VM</m:t>
                          </m:r>
                        </m:sub>
                        <m:sup>
                          <m:r>
                            <w:rPr>
                              <w:rFonts w:ascii="Cambria Math" w:eastAsia="DengXian" w:hAnsi="Cambria Math"/>
                              <w:color w:val="auto"/>
                            </w:rPr>
                            <m:t>3</m:t>
                          </m:r>
                        </m:sup>
                      </m:sSubSup>
                    </m:den>
                  </m:f>
                </m:e>
              </m:d>
            </m:oMath>
            <w:r w:rsidR="00257B12" w:rsidRPr="00690745">
              <w:rPr>
                <w:rFonts w:eastAsia="DengXian"/>
                <w:color w:val="auto"/>
              </w:rPr>
              <w:t>.</w:t>
            </w:r>
          </w:p>
        </w:tc>
        <w:tc>
          <w:tcPr>
            <w:tcW w:w="430" w:type="dxa"/>
            <w:shd w:val="clear" w:color="auto" w:fill="auto"/>
            <w:vAlign w:val="center"/>
          </w:tcPr>
          <w:p w14:paraId="1E7B9DED" w14:textId="245FEAED" w:rsidR="00257B12" w:rsidRPr="00690745" w:rsidRDefault="00257B12" w:rsidP="0017359C">
            <w:pPr>
              <w:tabs>
                <w:tab w:val="left" w:pos="720"/>
                <w:tab w:val="center" w:pos="4680"/>
                <w:tab w:val="right" w:pos="9000"/>
              </w:tabs>
              <w:spacing w:before="120" w:after="120"/>
              <w:jc w:val="right"/>
              <w:rPr>
                <w:rFonts w:eastAsia="DengXian"/>
                <w:color w:val="auto"/>
              </w:rPr>
            </w:pPr>
            <w:r w:rsidRPr="00690745">
              <w:rPr>
                <w:rFonts w:eastAsia="DengXian"/>
                <w:color w:val="auto"/>
              </w:rPr>
              <w:t>(</w:t>
            </w:r>
            <w:r w:rsidRPr="00690745">
              <w:rPr>
                <w:rFonts w:eastAsia="DengXian"/>
                <w:color w:val="auto"/>
              </w:rPr>
              <w:fldChar w:fldCharType="begin"/>
            </w:r>
            <w:r w:rsidRPr="00690745">
              <w:rPr>
                <w:rFonts w:eastAsia="DengXian"/>
                <w:color w:val="auto"/>
              </w:rPr>
              <w:instrText xml:space="preserve"> seq EquationSeq \* \Arabic </w:instrText>
            </w:r>
            <w:r w:rsidRPr="00690745">
              <w:rPr>
                <w:rFonts w:eastAsia="DengXian"/>
                <w:color w:val="auto"/>
              </w:rPr>
              <w:fldChar w:fldCharType="separate"/>
            </w:r>
            <w:r w:rsidR="00794EC3">
              <w:rPr>
                <w:rFonts w:eastAsia="DengXian"/>
                <w:color w:val="auto"/>
              </w:rPr>
              <w:t>2</w:t>
            </w:r>
            <w:r w:rsidRPr="00690745">
              <w:rPr>
                <w:rFonts w:eastAsia="DengXian"/>
                <w:color w:val="auto"/>
              </w:rPr>
              <w:fldChar w:fldCharType="end"/>
            </w:r>
            <w:r w:rsidRPr="00690745">
              <w:rPr>
                <w:rFonts w:eastAsia="DengXian"/>
                <w:color w:val="auto"/>
              </w:rPr>
              <w:t>)</w:t>
            </w:r>
          </w:p>
        </w:tc>
      </w:tr>
    </w:tbl>
    <w:p w14:paraId="7A1E7ABD" w14:textId="77777777" w:rsidR="00383D7F" w:rsidRDefault="00383D7F" w:rsidP="00EA3206">
      <w:pPr>
        <w:pStyle w:val="MDPI52figure"/>
        <w:spacing w:after="0"/>
        <w:ind w:left="2608" w:firstLine="454"/>
        <w:jc w:val="both"/>
        <w:rPr>
          <w:color w:val="auto"/>
        </w:rPr>
      </w:pPr>
      <w:r w:rsidRPr="00690745">
        <w:rPr>
          <w:color w:val="auto"/>
        </w:rPr>
        <w:t xml:space="preserve">Increased stress triaxiality is known to accelerate the void nucleation and growth process in ductile metals, resulting in reduced ductility even in </w:t>
      </w:r>
      <w:r w:rsidRPr="00E605D4">
        <w:rPr>
          <w:color w:val="auto"/>
        </w:rPr>
        <w:t xml:space="preserve">fully dense samples </w:t>
      </w:r>
      <w:r w:rsidRPr="00E605D4">
        <w:rPr>
          <w:color w:val="auto"/>
        </w:rPr>
        <w:fldChar w:fldCharType="begin" w:fldLock="1"/>
      </w:r>
      <w:r w:rsidRPr="00E605D4">
        <w:rPr>
          <w:color w:val="auto"/>
        </w:rPr>
        <w:instrText>ADDIN CSL_CITATION {"citationItems":[{"id":"ITEM-1","itemData":{"DOI":"10.1016/0022-5096(69)90033-7","ISSN":"00225096","abstract":"The fracture of ductile solids has frequently been observed to result from the large growth and coalescence of microscopic voids, a process enhanced by the superposition of hydrostatic tensile stresses on a plastic deformation field. The ductile growth of voids is treated here as a problem in continuum plasticity. First, a variational principle is established to characterize the flow field in an elastically rigid and incompressible plastic material containing an internal void or voids, and subjected to a remotely uniform stress and strain rate field. Then an approximate Rayleigh-Ritz procedure is developed and applied to the enlargement of an isolated spherical void in a nonhardening material. Growth is studied in some detail for the case of a remote tensile extension field with superposed hydrostatic stresses. The volume changing contribution to void growth is found to overwhelm the shape changing part when the mean remote normal stress is large, so that growth is essentially spherical. Further, it is found that for any remote strain rate field, the void enlargement rate is amplified over the remote strain rate by a factor rising exponentially with the ratio of mean normal stress to yield stress. Some related results are discussed, including the long cylindrical void considered by F.A. McClintock (1968, J. appl. Mech. 35, 363), and an approximate relation is given to describe growth of a spherical void in a general remote field. The results suggest a rapidly decreasing fracture ductility with increasing hydrostatic tension. © 1969.","author":[{"dropping-particle":"","family":"Rice","given":"J. R.","non-dropping-particle":"","parse-names":false,"suffix":""},{"dropping-particle":"","family":"Tracey","given":"D. M.","non-dropping-particle":"","parse-names":false,"suffix":""}],"container-title":"Journal of the Mechanics and Physics of Solids","id":"ITEM-1","issue":"3","issued":{"date-parts":[["1969"]]},"page":"201-217","title":"On the ductile enlargement of voids in triaxial stress fields","type":"article-journal","volume":"17"},"uris":["http://www.mendeley.com/documents/?uuid=3741018b-600a-4a51-af17-b7733e70eae5"]},{"id":"ITEM-2","itemData":{"DOI":"10.1016/B978-0-08-025443-2.50009-4","author":[{"dropping-particle":"","family":"Budiansky","given":"B","non-dropping-particle":"","parse-names":false,"suffix":""},{"dropping-particle":"","family":"Hutchinson","given":"J W","non-dropping-particle":"","parse-names":false,"suffix":""},{"dropping-particle":"","family":"Slutsky","given":"S","non-dropping-particle":"","parse-names":false,"suffix":""}],"container-title":"MECHANICS OF SOLIDS: The Rodney Hill 60th Anniversary Volume","id":"ITEM-2","issued":{"date-parts":[["1982"]]},"page":"13-45","publisher":"Pergamon Press Ltd.","title":"Void Growth and Collapse in Viscous Solids","type":"chapter"},"uris":["http://www.mendeley.com/documents/?uuid=6f7c185e-6b2b-4daf-9bfa-f9fe7240a4c1"]}],"mendeley":{"formattedCitation":"[5,15]","plainTextFormattedCitation":"[5,15]","previouslyFormattedCitation":"[4,14]"},"properties":{"noteIndex":0},"schema":"https://github.com/citation-style-language/schema/raw/master/csl-citation.json"}</w:instrText>
      </w:r>
      <w:r w:rsidRPr="00E605D4">
        <w:rPr>
          <w:color w:val="auto"/>
        </w:rPr>
        <w:fldChar w:fldCharType="separate"/>
      </w:r>
      <w:r w:rsidRPr="00E605D4">
        <w:rPr>
          <w:noProof/>
          <w:color w:val="auto"/>
        </w:rPr>
        <w:t>[5,15]</w:t>
      </w:r>
      <w:r w:rsidRPr="00E605D4">
        <w:rPr>
          <w:color w:val="auto"/>
        </w:rPr>
        <w:fldChar w:fldCharType="end"/>
      </w:r>
      <w:r w:rsidRPr="00E605D4">
        <w:rPr>
          <w:color w:val="auto"/>
        </w:rPr>
        <w:t>. Designing load bearing components to be safe under the spatially varying stress state is an important consideration for engineers in the design against failure.</w:t>
      </w:r>
    </w:p>
    <w:p w14:paraId="16F80933" w14:textId="5073EEC9" w:rsidR="00383D7F" w:rsidRDefault="00383D7F" w:rsidP="00EA3206">
      <w:pPr>
        <w:pStyle w:val="MDPI31text"/>
      </w:pPr>
      <w:r w:rsidRPr="00E605D4">
        <w:t xml:space="preserve">Fracture models that describe the effects of stress state on ductile failure have primarily been presented in mixed stress-strain space, meaning equivalent plastic strain to failure versus </w:t>
      </w:r>
      <w:r w:rsidRPr="00391C21">
        <w:rPr>
          <w:i/>
          <w:iCs/>
        </w:rPr>
        <w:t>η</w:t>
      </w:r>
      <w:r w:rsidRPr="00E605D4">
        <w:t xml:space="preserve"> and </w:t>
      </w:r>
      <m:oMath>
        <m:acc>
          <m:accPr>
            <m:chr m:val="̅"/>
            <m:ctrlPr>
              <w:rPr>
                <w:rFonts w:ascii="Cambria Math" w:eastAsia="DengXian" w:hAnsi="Cambria Math"/>
                <w:i/>
                <w:iCs/>
              </w:rPr>
            </m:ctrlPr>
          </m:accPr>
          <m:e>
            <m:r>
              <w:rPr>
                <w:rFonts w:ascii="Cambria Math" w:eastAsia="DengXian" w:hAnsi="Cambria Math"/>
              </w:rPr>
              <m:t>θ</m:t>
            </m:r>
          </m:e>
        </m:acc>
      </m:oMath>
      <w:r w:rsidRPr="00E605D4">
        <w:t xml:space="preserve"> (referred to here as equivalent strain space) because in ductile fracture, the resolution in strain is typically much larger than the resolution in stress, that is, large differences in strain result in relatively minor differences in stress due to the fact that the elastic contribution to failure is negligible compared to the plastic contribution. However, for alloys with little to no plastic deformation to failure, describing failure in terms of strain to failure becomes more challenging. This is shown schematically in Figure 1, which compares the engineering stress-strain curves for the two materials in this study—Ti-6Al-4V and 316L stainless steel (316L).</w:t>
      </w:r>
    </w:p>
    <w:p w14:paraId="30ABBBB3" w14:textId="77777777" w:rsidR="00EA3206" w:rsidRPr="00E605D4" w:rsidRDefault="00EA3206" w:rsidP="00EA3206">
      <w:pPr>
        <w:pStyle w:val="MDPI52figure"/>
        <w:ind w:left="2608"/>
        <w:jc w:val="left"/>
        <w:rPr>
          <w:color w:val="auto"/>
        </w:rPr>
      </w:pPr>
      <w:r w:rsidRPr="00E605D4">
        <w:rPr>
          <w:noProof/>
          <w:color w:val="auto"/>
        </w:rPr>
        <w:lastRenderedPageBreak/>
        <w:drawing>
          <wp:inline distT="0" distB="0" distL="0" distR="0" wp14:anchorId="5D9D6C81" wp14:editId="7B587F4E">
            <wp:extent cx="2576945" cy="2576945"/>
            <wp:effectExtent l="0" t="0" r="0" b="0"/>
            <wp:docPr id="162"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9"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782" cy="2587782"/>
                    </a:xfrm>
                    <a:prstGeom prst="rect">
                      <a:avLst/>
                    </a:prstGeom>
                    <a:noFill/>
                    <a:ln>
                      <a:noFill/>
                    </a:ln>
                  </pic:spPr>
                </pic:pic>
              </a:graphicData>
            </a:graphic>
          </wp:inline>
        </w:drawing>
      </w:r>
    </w:p>
    <w:p w14:paraId="474C852A" w14:textId="77777777" w:rsidR="00EA3206" w:rsidRPr="00E605D4" w:rsidRDefault="00EA3206" w:rsidP="00EA3206">
      <w:pPr>
        <w:pStyle w:val="MDPI51figurecaption"/>
        <w:jc w:val="both"/>
        <w:rPr>
          <w:color w:val="auto"/>
        </w:rPr>
      </w:pPr>
      <w:r w:rsidRPr="00E605D4">
        <w:rPr>
          <w:b/>
          <w:bCs/>
          <w:color w:val="auto"/>
        </w:rPr>
        <w:t xml:space="preserve">Figure 1. </w:t>
      </w:r>
      <w:r w:rsidRPr="00E605D4">
        <w:rPr>
          <w:color w:val="auto"/>
        </w:rPr>
        <w:t>Uniaxial tension engineering stress vs. strain curves for L-PBF Ti-Al-4V and 316L that schematically highlights the differences of resolution in stress and strain for the two alloys.</w:t>
      </w:r>
    </w:p>
    <w:p w14:paraId="21A7AF96" w14:textId="5ED94347" w:rsidR="00257B12" w:rsidRPr="00E605D4" w:rsidRDefault="00257B12" w:rsidP="000676A0">
      <w:pPr>
        <w:pStyle w:val="MDPI31text"/>
        <w:rPr>
          <w:color w:val="auto"/>
        </w:rPr>
      </w:pPr>
      <w:r w:rsidRPr="00E605D4">
        <w:rPr>
          <w:color w:val="auto"/>
        </w:rPr>
        <w:t xml:space="preserve">In this study, the effect of pores relative to the behavior of dense samples was assessed in two different alloys using well-known fracture models calibrated in both equivalent stress and strain space. Data over a wide range of stress states from previous studies by the authors on L-PBF stainless steel 316L </w:t>
      </w:r>
      <w:r w:rsidRPr="00E605D4">
        <w:rPr>
          <w:color w:val="auto"/>
        </w:rPr>
        <w:fldChar w:fldCharType="begin" w:fldLock="1"/>
      </w:r>
      <w:r w:rsidRPr="00E605D4">
        <w:rPr>
          <w:color w:val="auto"/>
        </w:rPr>
        <w:instrText>ADDIN CSL_CITATION {"citationItems":[{"id":"ITEM-1","itemData":{"DOI":"10.1016/j.addma.2021.101862","ISSN":"2214-8604","author":[{"dropping-particle":"","family":"Wilson-Heid","given":"Alexander E","non-dropping-particle":"","parse-names":false,"suffix":""},{"dropping-particle":"","family":"Beese","given":"Allison M","non-dropping-particle":"","parse-names":false,"suffix":""}],"container-title":"Additive Manufacturing","id":"ITEM-1","issued":{"date-parts":[["2021"]]},"publisher":"Elsevier B.V.","title":"Combined effects of porosity and stress state on the failure behavior of laser powder bed fusion stainless steel 316L","type":"article-journal","volume":"39"},"uris":["http://www.mendeley.com/documents/?uuid=51755b7c-3674-4144-9c83-20dd5df4dd82"]},{"id":"ITEM-2","itemData":{"DOI":"10.1016/j.actamat.2020.08.066","abstract":"Predicting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approach.","author":[{"dropping-particle":"","family":"Wilson-Heid","given":"Alexander E.","non-dropping-particle":"","parse-names":false,"suffix":""},{"dropping-particle":"","family":"Qin","given":"Shipin","non-dropping-particle":"","parse-names":false,"suffix":""},{"dropping-particle":"","family":"Beese","given":"Allison M.","non-dropping-particle":"","parse-names":false,"suffix":""}],"container-title":"Acta Materialia","id":"ITEM-2","issued":{"date-parts":[["2020"]]},"page":"1-15","title":"Multiaxial plasticity and fracture behavior of stainless steel 316L by laser powder bed fusion: Experiments and computational modeling","type":"article-journal","volume":"199"},"uris":["http://www.mendeley.com/documents/?uuid=f8b89951-f0c5-4c81-b9ab-cf2a9ff4ef45"]}],"mendeley":{"formattedCitation":"[16,17]","plainTextFormattedCitation":"[16,17]","previouslyFormattedCitation":"[15,16]"},"properties":{"noteIndex":0},"schema":"https://github.com/citation-style-language/schema/raw/master/csl-citation.json"}</w:instrText>
      </w:r>
      <w:r w:rsidRPr="00E605D4">
        <w:rPr>
          <w:color w:val="auto"/>
        </w:rPr>
        <w:fldChar w:fldCharType="separate"/>
      </w:r>
      <w:r w:rsidRPr="00E605D4">
        <w:rPr>
          <w:noProof/>
          <w:color w:val="auto"/>
        </w:rPr>
        <w:t>[16,17]</w:t>
      </w:r>
      <w:r w:rsidRPr="00E605D4">
        <w:rPr>
          <w:color w:val="auto"/>
        </w:rPr>
        <w:fldChar w:fldCharType="end"/>
      </w:r>
      <w:r w:rsidRPr="00E605D4">
        <w:rPr>
          <w:color w:val="auto"/>
        </w:rPr>
        <w:t xml:space="preserve"> and L-PBF Ti-6Al-4V </w:t>
      </w:r>
      <w:r w:rsidRPr="00E605D4">
        <w:rPr>
          <w:color w:val="auto"/>
        </w:rPr>
        <w:fldChar w:fldCharType="begin" w:fldLock="1"/>
      </w:r>
      <w:r w:rsidRPr="00E605D4">
        <w:rPr>
          <w:color w:val="auto"/>
        </w:rPr>
        <w:instrText>ADDIN CSL_CITATION {"citationItems":[{"id":"ITEM-1","itemData":{"DOI":"10.1016/j.msea.2019.05.097","ISSN":"09215093","author":[{"dropping-particle":"","family":"Wilson-Heid","given":"Alexander E.","non-dropping-particle":"","parse-names":false,"suffix":""},{"dropping-particle":"","family":"Beese","given":"Allison M.","non-dropping-particle":"","parse-names":false,"suffix":""}],"container-title":"Materials Science and Engineering: A","id":"ITEM-1","issue":"April","issued":{"date-parts":[["2019"]]},"page":"137967","publisher":"Elsevier B.V.","title":"Fracture of laser powder bed fusion additively manufactured Ti–6Al–4V under multiaxial loading: Calibration and comparison of fracture models","type":"article-journal"},"uris":["http://www.mendeley.com/documents/?uuid=0214daaa-5818-468b-8fc8-145995d34780"]},{"id":"ITEM-2","itemData":{"DOI":"10.1016/j.msea.2018.09.077","ISSN":"09215093","PMID":"8119414","abstract":"The multiaxial yield and plastic flow behavior of Ti-6Al-4V manufactured in two orientations via laser powder bed fusion (L-PBF) additive manufacturing was investigated. The mechanical properties of L-PBF Ti-6Al-4V were evaluated under uniaxial tension, plane strain tension, pure shear, and combined tension/shear loading. The mechanical behavior was found to be stress state dependent and slightly anisotropic. A plasticity model, consisting of a Hill 1948 anisotropic yield criterion, associated flow rule, and an isotropic hardening law was calibrated and used to describe the yield and plasticity behavior of this material. Validation of the plasticity model under multiaxial stress states demonstrated that the model was able to predict the stress state dependent anisotropic plasticity behavior of this material.","author":[{"dropping-particle":"","family":"Wilson-Heid","given":"Alexander E.","non-dropping-particle":"","parse-names":false,"suffix":""},{"dropping-particle":"","family":"Qin","given":"Shipin","non-dropping-particle":"","parse-names":false,"suffix":""},{"dropping-particle":"","family":"Beese","given":"Allison M.","non-dropping-particle":"","parse-names":false,"suffix":""}],"container-title":"Materials Science and Engineering A","id":"ITEM-2","issue":"September","issued":{"date-parts":[["2018"]]},"page":"90-97","publisher":"Elsevier B.V.","title":"Anisotropic multiaxial plasticity model for laser powder bed fusion additively manufactured Ti-6Al-4V","type":"article-journal","volume":"738"},"uris":["http://www.mendeley.com/documents/?uuid=2c1f0cca-7787-4b44-8770-e4055b077fe0"]},{"id":"ITEM-3","itemData":{"author":[{"dropping-particle":"","family":"Furton","given":"Erik","non-dropping-particle":"","parse-names":false,"suffix":""},{"dropping-particle":"","family":"Wilson-Heid","given":"Alexander E.","non-dropping-particle":"","parse-names":false,"suffix":""},{"dropping-particle":"","family":"Beese","given":"Allison M.","non-dropping-particle":"","parse-names":false,"suffix":""}],"container-title":"Submitted for publication","id":"ITEM-3","issued":{"date-parts":[["2021"]]},"title":"Effect of stress triaxiality and cylindrical porosity on tensile properties of laser powder bed fusion Ti‑6Al‑4V","type":"article-journal"},"uris":["http://www.mendeley.com/documents/?uuid=4d647e73-f6bd-4e4c-b563-c5d9668a69dc","http://www.mendeley.com/documents/?uuid=47aeb861-67ee-45b3-881a-3d5819763095"]}],"mendeley":{"formattedCitation":"[18–20]","plainTextFormattedCitation":"[18–20]","previouslyFormattedCitation":"[17–19]"},"properties":{"noteIndex":0},"schema":"https://github.com/citation-style-language/schema/raw/master/csl-citation.json"}</w:instrText>
      </w:r>
      <w:r w:rsidRPr="00E605D4">
        <w:rPr>
          <w:color w:val="auto"/>
        </w:rPr>
        <w:fldChar w:fldCharType="separate"/>
      </w:r>
      <w:r w:rsidRPr="00E605D4">
        <w:rPr>
          <w:noProof/>
          <w:color w:val="auto"/>
        </w:rPr>
        <w:t>[18–20]</w:t>
      </w:r>
      <w:r w:rsidRPr="00E605D4">
        <w:rPr>
          <w:color w:val="auto"/>
        </w:rPr>
        <w:fldChar w:fldCharType="end"/>
      </w:r>
      <w:r w:rsidRPr="00E605D4">
        <w:rPr>
          <w:color w:val="auto"/>
        </w:rPr>
        <w:t xml:space="preserve"> that </w:t>
      </w:r>
      <w:bookmarkStart w:id="3" w:name="_Hlk73036246"/>
      <w:r w:rsidRPr="00E605D4">
        <w:rPr>
          <w:color w:val="auto"/>
        </w:rPr>
        <w:t>included intentionally manufactured, penny-shaped pores of varying diameter were used to calibrate fracture models for each pore size in stress triaxiality versus Lode angle parameter versus equivalent stress space (Haigh-</w:t>
      </w:r>
      <w:proofErr w:type="spellStart"/>
      <w:r w:rsidRPr="00E605D4">
        <w:rPr>
          <w:color w:val="auto"/>
        </w:rPr>
        <w:t>Westergaard</w:t>
      </w:r>
      <w:proofErr w:type="spellEnd"/>
      <w:r w:rsidRPr="00E605D4">
        <w:rPr>
          <w:color w:val="auto"/>
        </w:rPr>
        <w:t xml:space="preserve"> space, referred to here as equivalent stress space) and equivalent strain space.</w:t>
      </w:r>
      <w:bookmarkEnd w:id="3"/>
      <w:r w:rsidRPr="00E605D4">
        <w:rPr>
          <w:color w:val="auto"/>
        </w:rPr>
        <w:t xml:space="preserve"> By comparing the ductile 316L alloy (&gt;60% engineering strain to failure under uniaxial tension) to the less ductile Ti-6Al-4V (&lt;10% engineering strain to failure under uniaxial tension) in both equivalent stress and strain space as a function of pore size, an assessment of dominant fracture mechanism changes, if any, can be made for each material.</w:t>
      </w:r>
      <w:r w:rsidR="000676A0" w:rsidRPr="00E605D4">
        <w:rPr>
          <w:color w:val="auto"/>
        </w:rPr>
        <w:t xml:space="preserve"> </w:t>
      </w:r>
      <w:r w:rsidRPr="00E605D4">
        <w:rPr>
          <w:color w:val="auto"/>
        </w:rPr>
        <w:t xml:space="preserve">Additionally, the appropriateness of fracture models in equivalent stress space versus equivalent plastic strain space for capturing the effect of pore size on the failure behavior of both materials is discussed. </w:t>
      </w:r>
    </w:p>
    <w:p w14:paraId="3907D9FF" w14:textId="77777777" w:rsidR="00257B12" w:rsidRPr="00E605D4" w:rsidRDefault="000676A0" w:rsidP="000676A0">
      <w:pPr>
        <w:pStyle w:val="MDPI21heading1"/>
        <w:rPr>
          <w:color w:val="auto"/>
        </w:rPr>
      </w:pPr>
      <w:r w:rsidRPr="00E605D4">
        <w:rPr>
          <w:color w:val="auto"/>
        </w:rPr>
        <w:t xml:space="preserve">2. </w:t>
      </w:r>
      <w:r w:rsidR="00257B12" w:rsidRPr="00E605D4">
        <w:rPr>
          <w:color w:val="auto"/>
        </w:rPr>
        <w:t>Materials and Methods</w:t>
      </w:r>
    </w:p>
    <w:p w14:paraId="7D42D091" w14:textId="56E0A4BC" w:rsidR="00257B12" w:rsidRPr="00E605D4" w:rsidRDefault="00257B12" w:rsidP="000676A0">
      <w:pPr>
        <w:pStyle w:val="MDPI31text"/>
        <w:rPr>
          <w:color w:val="auto"/>
        </w:rPr>
      </w:pPr>
      <w:bookmarkStart w:id="4" w:name="_Hlk74776173"/>
      <w:r w:rsidRPr="00E605D4">
        <w:rPr>
          <w:color w:val="auto"/>
        </w:rPr>
        <w:t>The complete description of the manufacturing process, samples, experimental set-up, and simulations are described in extensive detail for the 316L builds in Refs</w:t>
      </w:r>
      <w:r w:rsidR="00564933">
        <w:rPr>
          <w:color w:val="auto"/>
        </w:rPr>
        <w:t>.</w:t>
      </w:r>
      <w:r w:rsidRPr="00E605D4">
        <w:rPr>
          <w:color w:val="auto"/>
        </w:rPr>
        <w:t xml:space="preserve"> </w:t>
      </w:r>
      <w:r w:rsidRPr="00E605D4">
        <w:rPr>
          <w:color w:val="auto"/>
        </w:rPr>
        <w:fldChar w:fldCharType="begin" w:fldLock="1"/>
      </w:r>
      <w:r w:rsidRPr="00E605D4">
        <w:rPr>
          <w:color w:val="auto"/>
        </w:rPr>
        <w:instrText>ADDIN CSL_CITATION {"citationItems":[{"id":"ITEM-1","itemData":{"DOI":"10.1016/j.actamat.2020.08.066","abstract":"Predicting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approach.","author":[{"dropping-particle":"","family":"Wilson-Heid","given":"Alexander E.","non-dropping-particle":"","parse-names":false,"suffix":""},{"dropping-particle":"","family":"Qin","given":"Shipin","non-dropping-particle":"","parse-names":false,"suffix":""},{"dropping-particle":"","family":"Beese","given":"Allison M.","non-dropping-particle":"","parse-names":false,"suffix":""}],"container-title":"Acta Materialia","id":"ITEM-1","issued":{"date-parts":[["2020"]]},"page":"1-15","title":"Multiaxial plasticity and fracture behavior of stainless steel 316L by laser powder bed fusion: Experiments and computational modeling","type":"article-journal","volume":"199"},"uris":["http://www.mendeley.com/documents/?uuid=f8b89951-f0c5-4c81-b9ab-cf2a9ff4ef45"]},{"id":"ITEM-2","itemData":{"DOI":"10.1016/j.addma.2021.101862","ISSN":"2214-8604","author":[{"dropping-particle":"","family":"Wilson-Heid","given":"Alexander E","non-dropping-particle":"","parse-names":false,"suffix":""},{"dropping-particle":"","family":"Beese","given":"Allison M","non-dropping-particle":"","parse-names":false,"suffix":""}],"container-title":"Additive Manufacturing","id":"ITEM-2","issued":{"date-parts":[["2021"]]},"publisher":"Elsevier B.V.","title":"Combined effects of porosity and stress state on the failure behavior of laser powder bed fusion stainless steel 316L","type":"article-journal","volume":"39"},"uris":["http://www.mendeley.com/documents/?uuid=51755b7c-3674-4144-9c83-20dd5df4dd82"]}],"mendeley":{"formattedCitation":"[16,17]","plainTextFormattedCitation":"[16,17]","previouslyFormattedCitation":"[15,16]"},"properties":{"noteIndex":0},"schema":"https://github.com/citation-style-language/schema/raw/master/csl-citation.json"}</w:instrText>
      </w:r>
      <w:r w:rsidRPr="00E605D4">
        <w:rPr>
          <w:color w:val="auto"/>
        </w:rPr>
        <w:fldChar w:fldCharType="separate"/>
      </w:r>
      <w:r w:rsidRPr="00E605D4">
        <w:rPr>
          <w:noProof/>
          <w:color w:val="auto"/>
        </w:rPr>
        <w:t>[16,17]</w:t>
      </w:r>
      <w:r w:rsidRPr="00E605D4">
        <w:rPr>
          <w:color w:val="auto"/>
        </w:rPr>
        <w:fldChar w:fldCharType="end"/>
      </w:r>
      <w:r w:rsidRPr="00E605D4">
        <w:rPr>
          <w:color w:val="auto"/>
        </w:rPr>
        <w:t xml:space="preserve"> and for the Ti-6Al-4V builds in Refs</w:t>
      </w:r>
      <w:r w:rsidR="00564933">
        <w:rPr>
          <w:color w:val="auto"/>
        </w:rPr>
        <w:t>.</w:t>
      </w:r>
      <w:r w:rsidRPr="00E605D4">
        <w:rPr>
          <w:color w:val="auto"/>
        </w:rPr>
        <w:t xml:space="preserve"> </w:t>
      </w:r>
      <w:r w:rsidRPr="00E605D4">
        <w:rPr>
          <w:color w:val="auto"/>
        </w:rPr>
        <w:fldChar w:fldCharType="begin" w:fldLock="1"/>
      </w:r>
      <w:r w:rsidRPr="00E605D4">
        <w:rPr>
          <w:color w:val="auto"/>
        </w:rPr>
        <w:instrText>ADDIN CSL_CITATION {"citationItems":[{"id":"ITEM-1","itemData":{"author":[{"dropping-particle":"","family":"Furton","given":"Erik","non-dropping-particle":"","parse-names":false,"suffix":""},{"dropping-particle":"","family":"Wilson-Heid","given":"Alexander E.","non-dropping-particle":"","parse-names":false,"suffix":""},{"dropping-particle":"","family":"Beese","given":"Allison M.","non-dropping-particle":"","parse-names":false,"suffix":""}],"container-title":"Submitted for publication","id":"ITEM-1","issued":{"date-parts":[["2021"]]},"title":"Effect of stress triaxiality and cylindrical porosity on tensile properties of laser powder bed fusion Ti‑6Al‑4V","type":"article-journal"},"uris":["http://www.mendeley.com/documents/?uuid=47aeb861-67ee-45b3-881a-3d5819763095","http://www.mendeley.com/documents/?uuid=4d647e73-f6bd-4e4c-b563-c5d9668a69dc","http://www.mendeley.com/documents/?uuid=6d79ebaa-6320-4e99-8855-51769cd59be2"]},{"id":"ITEM-2","itemData":{"DOI":"10.1016/j.msea.2019.05.097","ISSN":"09215093","author":[{"dropping-particle":"","family":"Wilson-Heid","given":"Alexander E.","non-dropping-particle":"","parse-names":false,"suffix":""},{"dropping-particle":"","family":"Beese","given":"Allison M.","non-dropping-particle":"","parse-names":false,"suffix":""}],"container-title":"Materials Science and Engineering: A","id":"ITEM-2","issue":"April","issued":{"date-parts":[["2019"]]},"page":"137967","publisher":"Elsevier B.V.","title":"Fracture of laser powder bed fusion additively manufactured Ti–6Al–4V under multiaxial loading: Calibration and comparison of fracture models","type":"article-journal"},"uris":["http://www.mendeley.com/documents/?uuid=0214daaa-5818-468b-8fc8-145995d34780"]}],"mendeley":{"formattedCitation":"[18,20]","plainTextFormattedCitation":"[18,20]","previouslyFormattedCitation":"[17,19]"},"properties":{"noteIndex":0},"schema":"https://github.com/citation-style-language/schema/raw/master/csl-citation.json"}</w:instrText>
      </w:r>
      <w:r w:rsidRPr="00E605D4">
        <w:rPr>
          <w:color w:val="auto"/>
        </w:rPr>
        <w:fldChar w:fldCharType="separate"/>
      </w:r>
      <w:r w:rsidRPr="00E605D4">
        <w:rPr>
          <w:noProof/>
          <w:color w:val="auto"/>
        </w:rPr>
        <w:t>[18,20]</w:t>
      </w:r>
      <w:r w:rsidRPr="00E605D4">
        <w:rPr>
          <w:color w:val="auto"/>
        </w:rPr>
        <w:fldChar w:fldCharType="end"/>
      </w:r>
      <w:r w:rsidRPr="00E605D4">
        <w:rPr>
          <w:color w:val="auto"/>
        </w:rPr>
        <w:t xml:space="preserve">. </w:t>
      </w:r>
      <w:bookmarkEnd w:id="4"/>
      <w:r w:rsidRPr="00E605D4">
        <w:rPr>
          <w:color w:val="auto"/>
        </w:rPr>
        <w:t xml:space="preserve">The following is an overview of information that is most pertinent to the current study. </w:t>
      </w:r>
    </w:p>
    <w:p w14:paraId="07484F14" w14:textId="49A7E4A5" w:rsidR="00257B12" w:rsidRPr="00E605D4" w:rsidRDefault="000676A0" w:rsidP="000676A0">
      <w:pPr>
        <w:pStyle w:val="MDPI22heading2"/>
        <w:spacing w:before="240"/>
        <w:rPr>
          <w:color w:val="auto"/>
        </w:rPr>
      </w:pPr>
      <w:r w:rsidRPr="00E605D4">
        <w:rPr>
          <w:color w:val="auto"/>
        </w:rPr>
        <w:t xml:space="preserve">2.1. </w:t>
      </w:r>
      <w:r w:rsidR="00257B12" w:rsidRPr="00E605D4">
        <w:rPr>
          <w:color w:val="auto"/>
        </w:rPr>
        <w:t xml:space="preserve">Experimental </w:t>
      </w:r>
      <w:r w:rsidR="00564933" w:rsidRPr="00E605D4">
        <w:rPr>
          <w:color w:val="auto"/>
        </w:rPr>
        <w:t>Methods</w:t>
      </w:r>
    </w:p>
    <w:p w14:paraId="7C0E643D" w14:textId="0BC81D54" w:rsidR="00257B12" w:rsidRDefault="00257B12" w:rsidP="000676A0">
      <w:pPr>
        <w:pStyle w:val="MDPI31text"/>
        <w:rPr>
          <w:color w:val="auto"/>
        </w:rPr>
      </w:pPr>
      <w:r w:rsidRPr="00E605D4">
        <w:rPr>
          <w:color w:val="auto"/>
        </w:rPr>
        <w:t xml:space="preserve">Samples used in this study for both alloys were manufactured on a </w:t>
      </w:r>
      <w:r w:rsidRPr="00D12BE5">
        <w:rPr>
          <w:color w:val="auto"/>
        </w:rPr>
        <w:t>3DSystems, Inc.</w:t>
      </w:r>
      <w:r w:rsidRPr="00E605D4">
        <w:rPr>
          <w:color w:val="auto"/>
        </w:rPr>
        <w:t xml:space="preserve"> </w:t>
      </w:r>
      <w:proofErr w:type="spellStart"/>
      <w:r w:rsidRPr="00E605D4">
        <w:rPr>
          <w:color w:val="auto"/>
        </w:rPr>
        <w:t>ProX</w:t>
      </w:r>
      <w:proofErr w:type="spellEnd"/>
      <w:r w:rsidRPr="00E605D4">
        <w:rPr>
          <w:color w:val="auto"/>
        </w:rPr>
        <w:t xml:space="preserve"> 320 L-PBF AM machine</w:t>
      </w:r>
      <w:r w:rsidR="001F3743">
        <w:rPr>
          <w:color w:val="auto"/>
        </w:rPr>
        <w:t xml:space="preserve"> (</w:t>
      </w:r>
      <w:r w:rsidR="005175E0">
        <w:rPr>
          <w:color w:val="auto"/>
          <w:highlight w:val="yellow"/>
        </w:rPr>
        <w:t>3DSystems</w:t>
      </w:r>
      <w:r w:rsidR="00D12BE5" w:rsidRPr="00D12BE5">
        <w:rPr>
          <w:color w:val="auto"/>
          <w:highlight w:val="yellow"/>
        </w:rPr>
        <w:t xml:space="preserve">, </w:t>
      </w:r>
      <w:r w:rsidR="00170DE5">
        <w:rPr>
          <w:color w:val="auto"/>
          <w:highlight w:val="yellow"/>
        </w:rPr>
        <w:t>Rock Hill, SC</w:t>
      </w:r>
      <w:r w:rsidR="00D12BE5" w:rsidRPr="00D12BE5">
        <w:rPr>
          <w:color w:val="auto"/>
          <w:highlight w:val="yellow"/>
        </w:rPr>
        <w:t xml:space="preserve">, </w:t>
      </w:r>
      <w:r w:rsidR="00170DE5">
        <w:rPr>
          <w:color w:val="auto"/>
        </w:rPr>
        <w:t>USA</w:t>
      </w:r>
      <w:r w:rsidR="00D12BE5">
        <w:rPr>
          <w:color w:val="auto"/>
        </w:rPr>
        <w:t>)</w:t>
      </w:r>
      <w:r w:rsidRPr="00E605D4">
        <w:rPr>
          <w:color w:val="auto"/>
        </w:rPr>
        <w:t xml:space="preserve">. No post-processing heat treatment was used for the 316L builds, </w:t>
      </w:r>
      <w:bookmarkStart w:id="5" w:name="_Hlk74775477"/>
      <w:r w:rsidRPr="00E605D4">
        <w:rPr>
          <w:color w:val="auto"/>
        </w:rPr>
        <w:t>while a post-processing stress relief heat treatment of 650 °C for 3 h in an argon environment was used for the Ti-6Al-4V builds.</w:t>
      </w:r>
      <w:bookmarkEnd w:id="5"/>
      <w:r w:rsidRPr="00E605D4">
        <w:rPr>
          <w:color w:val="auto"/>
        </w:rPr>
        <w:t xml:space="preserve"> Data obtained using five different sample geometries, selected as they have a pre-determined failure initiation location, and corresponding to five unique stress states, were used </w:t>
      </w:r>
      <w:r w:rsidRPr="00690745">
        <w:rPr>
          <w:color w:val="auto"/>
        </w:rPr>
        <w:t xml:space="preserve">in the current study: pure shear, </w:t>
      </w:r>
      <w:proofErr w:type="spellStart"/>
      <w:r w:rsidRPr="00690745">
        <w:rPr>
          <w:color w:val="auto"/>
        </w:rPr>
        <w:t>equibiaxial</w:t>
      </w:r>
      <w:proofErr w:type="spellEnd"/>
      <w:r w:rsidRPr="00690745">
        <w:rPr>
          <w:color w:val="auto"/>
        </w:rPr>
        <w:t xml:space="preserve"> tension (punch tests), and round notched tension with three different notch radii (3 mm (R3), 5 mm (R5), and 12 mm (R12)), as shown in Figure 2. The three notched tension geometries each had a minimum cross-sectional diameter of 6 mm. The </w:t>
      </w:r>
      <w:r w:rsidRPr="00E605D4">
        <w:rPr>
          <w:color w:val="auto"/>
        </w:rPr>
        <w:t>gauge regions of all samples were fabricated using computer numeric control (CNC) machining</w:t>
      </w:r>
      <w:r w:rsidR="00D12BE5">
        <w:rPr>
          <w:color w:val="auto"/>
        </w:rPr>
        <w:t xml:space="preserve"> </w:t>
      </w:r>
      <w:bookmarkStart w:id="6" w:name="_Hlk75776115"/>
      <w:r w:rsidR="00D12BE5">
        <w:rPr>
          <w:color w:val="auto"/>
        </w:rPr>
        <w:t>(</w:t>
      </w:r>
      <w:bookmarkEnd w:id="6"/>
      <w:r w:rsidR="007B02E2">
        <w:rPr>
          <w:color w:val="auto"/>
        </w:rPr>
        <w:t>Lynx 220L, Doosan Machine Tools Co., Ltd., Pine Brook, NJ, USA</w:t>
      </w:r>
      <w:r w:rsidR="00EC2C20">
        <w:rPr>
          <w:color w:val="auto"/>
        </w:rPr>
        <w:t>)</w:t>
      </w:r>
      <w:r w:rsidRPr="00E605D4">
        <w:rPr>
          <w:color w:val="auto"/>
        </w:rPr>
        <w:t>.</w:t>
      </w:r>
    </w:p>
    <w:p w14:paraId="5330A14D" w14:textId="51706670" w:rsidR="00383D7F" w:rsidRPr="00D12BE5" w:rsidRDefault="00383D7F">
      <w:pPr>
        <w:pStyle w:val="MDPI31text"/>
        <w:rPr>
          <w:i/>
          <w:iCs/>
          <w:color w:val="auto"/>
        </w:rPr>
      </w:pPr>
      <w:r w:rsidRPr="00E605D4">
        <w:rPr>
          <w:color w:val="auto"/>
        </w:rPr>
        <w:lastRenderedPageBreak/>
        <w:t xml:space="preserve">The five sample geometries for both materials were evaluated in the dense condition, that is using process parameters optimized to build each material. Only the R3, R5, and R12 tests selected in the current study had single, penny shaped pores of varying diameters that were directly designed into the CAD files for the samples, and therefore, included at the center of each sample during </w:t>
      </w:r>
      <w:r w:rsidRPr="00564933">
        <w:rPr>
          <w:color w:val="auto"/>
        </w:rPr>
        <w:t>the AM fabrication.</w:t>
      </w:r>
      <w:r>
        <w:rPr>
          <w:color w:val="auto"/>
        </w:rPr>
        <w:t xml:space="preserve"> </w:t>
      </w:r>
      <w:r w:rsidRPr="00564933">
        <w:rPr>
          <w:color w:val="auto"/>
        </w:rPr>
        <w:t>The pore diameters in µm (and their percentage of the cross-sectional area of the notched tension samples) evaluated in this study were: 300 (0.3%), 600 (1%), 1200 (4%), and 2400 (16%). The four pore sizes were chosen in the current analysis because they interrogated a wide range of percentage of the cross-sectional area that led to varied mechanical response relative to dense samples; additionally, all four pore sizes were studied in each alloy, allowing for a direct comparison. In the 316L material, each of the pores were designed to be 180 µm or 3 layers tall cylinders with the varying diameters, while in the Ti-6Al-4V samples, the internal pores were designed with a conical feature on the top surface after 180 µm vertical walls to prevent pore closure due to dross formation in this alloy system. As discussed in Ref</w:t>
      </w:r>
      <w:r>
        <w:rPr>
          <w:color w:val="auto"/>
        </w:rPr>
        <w:t>.</w:t>
      </w:r>
      <w:r w:rsidRPr="00564933">
        <w:rPr>
          <w:color w:val="auto"/>
        </w:rPr>
        <w:t xml:space="preserve"> </w:t>
      </w:r>
      <w:r w:rsidRPr="00564933">
        <w:rPr>
          <w:color w:val="auto"/>
        </w:rPr>
        <w:fldChar w:fldCharType="begin" w:fldLock="1"/>
      </w:r>
      <w:r w:rsidRPr="00564933">
        <w:rPr>
          <w:color w:val="auto"/>
        </w:rPr>
        <w:instrText>ADDIN CSL_CITATION {"citationItems":[{"id":"ITEM-1","itemData":{"author":[{"dropping-particle":"","family":"Furton","given":"Erik","non-dropping-particle":"","parse-names":false,"suffix":""},{"dropping-particle":"","family":"Wilson-Heid","given":"Alexander E.","non-dropping-particle":"","parse-names":false,"suffix":""},{"dropping-particle":"","family":"Beese","given":"Allison M.","non-dropping-particle":"","parse-names":false,"suffix":""}],"container-title":"Submitted for publication","id":"ITEM-1","issued":{"date-parts":[["2021"]]},"title":"Effect of stress triaxiality and cylindrical porosity on tensile properties of laser powder bed fusion Ti‑6Al‑4V","type":"article-journal"},"uris":["http://www.mendeley.com/documents/?uuid=4d647e73-f6bd-4e4c-b563-c5d9668a69dc"]}],"mendeley":{"formattedCitation":"[20]","plainTextFormattedCitation":"[20]","previouslyFormattedCitation":"[19]"},"properties":{"noteIndex":0},"schema":"https://github.com/citation-style-language/schema/raw/master/csl-citation.json"}</w:instrText>
      </w:r>
      <w:r w:rsidRPr="00564933">
        <w:rPr>
          <w:color w:val="auto"/>
        </w:rPr>
        <w:fldChar w:fldCharType="separate"/>
      </w:r>
      <w:r w:rsidRPr="00564933">
        <w:rPr>
          <w:noProof/>
          <w:color w:val="auto"/>
        </w:rPr>
        <w:t>[20]</w:t>
      </w:r>
      <w:r w:rsidRPr="00564933">
        <w:rPr>
          <w:color w:val="auto"/>
        </w:rPr>
        <w:fldChar w:fldCharType="end"/>
      </w:r>
      <w:r w:rsidRPr="00564933">
        <w:rPr>
          <w:color w:val="auto"/>
        </w:rPr>
        <w:t xml:space="preserve">, a study on the effect of pore height performed for Ti-6Al-4V </w:t>
      </w:r>
      <w:r w:rsidRPr="00E605D4">
        <w:rPr>
          <w:color w:val="auto"/>
        </w:rPr>
        <w:t>indicated that the pore height did not impact the measured strength o</w:t>
      </w:r>
      <w:r w:rsidR="00CE6ED7">
        <w:rPr>
          <w:color w:val="auto"/>
        </w:rPr>
        <w:t>r</w:t>
      </w:r>
      <w:r w:rsidRPr="00E605D4">
        <w:rPr>
          <w:color w:val="auto"/>
        </w:rPr>
        <w:t xml:space="preserve"> ductility in uniaxial tension specimens.</w:t>
      </w:r>
    </w:p>
    <w:p w14:paraId="4F287E48" w14:textId="77777777" w:rsidR="00257B12" w:rsidRPr="00564933" w:rsidRDefault="00257B12" w:rsidP="000676A0">
      <w:pPr>
        <w:pStyle w:val="MDPI52figure"/>
        <w:rPr>
          <w:color w:val="auto"/>
        </w:rPr>
      </w:pPr>
      <w:r w:rsidRPr="00564933">
        <w:rPr>
          <w:noProof/>
          <w:color w:val="auto"/>
        </w:rPr>
        <w:drawing>
          <wp:inline distT="0" distB="0" distL="0" distR="0" wp14:anchorId="5BDC4CD2" wp14:editId="2D7BFDCA">
            <wp:extent cx="5761990" cy="254745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1148" cy="2551502"/>
                    </a:xfrm>
                    <a:prstGeom prst="rect">
                      <a:avLst/>
                    </a:prstGeom>
                    <a:noFill/>
                    <a:ln>
                      <a:noFill/>
                    </a:ln>
                  </pic:spPr>
                </pic:pic>
              </a:graphicData>
            </a:graphic>
          </wp:inline>
        </w:drawing>
      </w:r>
    </w:p>
    <w:p w14:paraId="5F816F63" w14:textId="6B1E21B5" w:rsidR="00257B12" w:rsidRPr="00564933" w:rsidRDefault="000676A0" w:rsidP="000676A0">
      <w:pPr>
        <w:pStyle w:val="MDPI51figurecaption"/>
        <w:ind w:left="425" w:right="425"/>
        <w:jc w:val="both"/>
        <w:rPr>
          <w:b/>
          <w:bCs/>
          <w:color w:val="auto"/>
        </w:rPr>
      </w:pPr>
      <w:r w:rsidRPr="00564933">
        <w:rPr>
          <w:b/>
          <w:bCs/>
          <w:color w:val="auto"/>
        </w:rPr>
        <w:t xml:space="preserve">Figure 2. </w:t>
      </w:r>
      <w:r w:rsidR="00257B12" w:rsidRPr="00564933">
        <w:rPr>
          <w:color w:val="auto"/>
        </w:rPr>
        <w:t>Drawings of mechanical test specimens used to calibrate fracture criterion. (</w:t>
      </w:r>
      <w:r w:rsidR="00257B12" w:rsidRPr="00564933">
        <w:rPr>
          <w:b/>
          <w:color w:val="auto"/>
        </w:rPr>
        <w:t>a</w:t>
      </w:r>
      <w:r w:rsidR="00564933" w:rsidRPr="00564933">
        <w:rPr>
          <w:rFonts w:hint="eastAsia"/>
          <w:color w:val="auto"/>
        </w:rPr>
        <w:t>–</w:t>
      </w:r>
      <w:r w:rsidR="00257B12" w:rsidRPr="00564933">
        <w:rPr>
          <w:b/>
          <w:color w:val="auto"/>
        </w:rPr>
        <w:t>c</w:t>
      </w:r>
      <w:r w:rsidR="00257B12" w:rsidRPr="00564933">
        <w:rPr>
          <w:color w:val="auto"/>
        </w:rPr>
        <w:t>) The cylindrical notched tension geometries that were tested in the dense condition and with single, penny-shaped pores of varying diameter at the center. (</w:t>
      </w:r>
      <w:r w:rsidR="00257B12" w:rsidRPr="00564933">
        <w:rPr>
          <w:b/>
          <w:color w:val="auto"/>
        </w:rPr>
        <w:t>d</w:t>
      </w:r>
      <w:r w:rsidR="00257B12" w:rsidRPr="00564933">
        <w:rPr>
          <w:color w:val="auto"/>
        </w:rPr>
        <w:t>) The butterfly test geometry used to evaluate material properties under pure shear and (</w:t>
      </w:r>
      <w:r w:rsidR="00257B12" w:rsidRPr="00564933">
        <w:rPr>
          <w:b/>
          <w:color w:val="auto"/>
        </w:rPr>
        <w:t>e</w:t>
      </w:r>
      <w:r w:rsidR="00257B12" w:rsidRPr="00564933">
        <w:rPr>
          <w:color w:val="auto"/>
        </w:rPr>
        <w:t xml:space="preserve">) the punch test geometry used to evaluate </w:t>
      </w:r>
      <w:proofErr w:type="spellStart"/>
      <w:r w:rsidR="00257B12" w:rsidRPr="00564933">
        <w:rPr>
          <w:color w:val="auto"/>
        </w:rPr>
        <w:t>equibiaxial</w:t>
      </w:r>
      <w:proofErr w:type="spellEnd"/>
      <w:r w:rsidR="00257B12" w:rsidRPr="00564933">
        <w:rPr>
          <w:color w:val="auto"/>
        </w:rPr>
        <w:t xml:space="preserve"> tension. Both (</w:t>
      </w:r>
      <w:r w:rsidR="00257B12" w:rsidRPr="00564933">
        <w:rPr>
          <w:b/>
          <w:color w:val="auto"/>
        </w:rPr>
        <w:t>d</w:t>
      </w:r>
      <w:r w:rsidR="00257B12" w:rsidRPr="00564933">
        <w:rPr>
          <w:color w:val="auto"/>
        </w:rPr>
        <w:t>) and (</w:t>
      </w:r>
      <w:r w:rsidR="00257B12" w:rsidRPr="00564933">
        <w:rPr>
          <w:b/>
          <w:color w:val="auto"/>
        </w:rPr>
        <w:t>e</w:t>
      </w:r>
      <w:r w:rsidR="00257B12" w:rsidRPr="00564933">
        <w:rPr>
          <w:color w:val="auto"/>
        </w:rPr>
        <w:t>) were only tested in the dense condition. All dimensions in mm.</w:t>
      </w:r>
    </w:p>
    <w:p w14:paraId="71C0D137" w14:textId="4FF6EC4F" w:rsidR="00257B12" w:rsidRPr="00E605D4" w:rsidRDefault="00257B12" w:rsidP="000676A0">
      <w:pPr>
        <w:pStyle w:val="MDPI31text"/>
        <w:rPr>
          <w:color w:val="auto"/>
        </w:rPr>
      </w:pPr>
      <w:r w:rsidRPr="00E605D4">
        <w:rPr>
          <w:color w:val="auto"/>
        </w:rPr>
        <w:t>For all tests at least two repetitions were completed for each combination of stress state and pore size, including the dense samples. Tests were performed to failure on their respective load frames.</w:t>
      </w:r>
      <w:r w:rsidR="000676A0" w:rsidRPr="00E605D4">
        <w:rPr>
          <w:color w:val="auto"/>
        </w:rPr>
        <w:t xml:space="preserve"> </w:t>
      </w:r>
      <w:r w:rsidRPr="00E605D4">
        <w:rPr>
          <w:color w:val="auto"/>
        </w:rPr>
        <w:t xml:space="preserve">Displacement and strain, using a virtual extensometer, were measured using digital image correlation (DIC), a non-contact surface strain field measurement technique. For each test, two different definitions of failure were examined, displacement to maximum force and displacement to material separation, and were used to inform the simulation data in Section 2.1 and for calibration of the equivalent stress and strain fracture models, respectively, in Section 2.3. </w:t>
      </w:r>
    </w:p>
    <w:p w14:paraId="0D27142F" w14:textId="5DA20C41" w:rsidR="00257B12" w:rsidRPr="00E605D4" w:rsidRDefault="000676A0" w:rsidP="000676A0">
      <w:pPr>
        <w:pStyle w:val="MDPI22heading2"/>
        <w:spacing w:before="240"/>
        <w:rPr>
          <w:color w:val="auto"/>
        </w:rPr>
      </w:pPr>
      <w:r w:rsidRPr="00E605D4">
        <w:rPr>
          <w:color w:val="auto"/>
        </w:rPr>
        <w:t xml:space="preserve">2.2. </w:t>
      </w:r>
      <w:r w:rsidR="00257B12" w:rsidRPr="00E605D4">
        <w:rPr>
          <w:color w:val="auto"/>
        </w:rPr>
        <w:t xml:space="preserve">Finite </w:t>
      </w:r>
      <w:r w:rsidR="00C04F83" w:rsidRPr="00E605D4">
        <w:rPr>
          <w:color w:val="auto"/>
        </w:rPr>
        <w:t xml:space="preserve">Element </w:t>
      </w:r>
      <w:r w:rsidR="00564933" w:rsidRPr="00E605D4">
        <w:rPr>
          <w:color w:val="auto"/>
        </w:rPr>
        <w:t>Analysis Simulations</w:t>
      </w:r>
    </w:p>
    <w:p w14:paraId="2F3E0373" w14:textId="6016C787" w:rsidR="00257B12" w:rsidRPr="00E605D4" w:rsidRDefault="00257B12" w:rsidP="000676A0">
      <w:pPr>
        <w:pStyle w:val="MDPI31text"/>
        <w:rPr>
          <w:color w:val="auto"/>
        </w:rPr>
      </w:pPr>
      <w:r w:rsidRPr="00E605D4">
        <w:rPr>
          <w:color w:val="auto"/>
        </w:rPr>
        <w:t xml:space="preserve">Calibrated plasticity models for 316L </w:t>
      </w:r>
      <w:r w:rsidRPr="00E605D4">
        <w:rPr>
          <w:color w:val="auto"/>
        </w:rPr>
        <w:fldChar w:fldCharType="begin" w:fldLock="1"/>
      </w:r>
      <w:r w:rsidRPr="00E605D4">
        <w:rPr>
          <w:color w:val="auto"/>
        </w:rPr>
        <w:instrText>ADDIN CSL_CITATION {"citationItems":[{"id":"ITEM-1","itemData":{"DOI":"10.1016/j.actamat.2020.08.066","abstract":"Predicting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approach.","author":[{"dropping-particle":"","family":"Wilson-Heid","given":"Alexander E.","non-dropping-particle":"","parse-names":false,"suffix":""},{"dropping-particle":"","family":"Qin","given":"Shipin","non-dropping-particle":"","parse-names":false,"suffix":""},{"dropping-particle":"","family":"Beese","given":"Allison M.","non-dropping-particle":"","parse-names":false,"suffix":""}],"container-title":"Acta Materialia","id":"ITEM-1","issued":{"date-parts":[["2020"]]},"page":"1-15","title":"Multiaxial plasticity and fracture behavior of stainless steel 316L by laser powder bed fusion: Experiments and computational modeling","type":"article-journal","volume":"199"},"uris":["http://www.mendeley.com/documents/?uuid=f8b89951-f0c5-4c81-b9ab-cf2a9ff4ef45"]}],"mendeley":{"formattedCitation":"[17]","plainTextFormattedCitation":"[17]","previouslyFormattedCitation":"[16]"},"properties":{"noteIndex":0},"schema":"https://github.com/citation-style-language/schema/raw/master/csl-citation.json"}</w:instrText>
      </w:r>
      <w:r w:rsidRPr="00E605D4">
        <w:rPr>
          <w:color w:val="auto"/>
        </w:rPr>
        <w:fldChar w:fldCharType="separate"/>
      </w:r>
      <w:r w:rsidRPr="00E605D4">
        <w:rPr>
          <w:noProof/>
          <w:color w:val="auto"/>
        </w:rPr>
        <w:t>[17]</w:t>
      </w:r>
      <w:r w:rsidRPr="00E605D4">
        <w:rPr>
          <w:color w:val="auto"/>
        </w:rPr>
        <w:fldChar w:fldCharType="end"/>
      </w:r>
      <w:r w:rsidRPr="00E605D4">
        <w:rPr>
          <w:color w:val="auto"/>
        </w:rPr>
        <w:t xml:space="preserve"> and Ti-6Al-4V </w:t>
      </w:r>
      <w:r w:rsidRPr="00E605D4">
        <w:rPr>
          <w:color w:val="auto"/>
        </w:rPr>
        <w:fldChar w:fldCharType="begin" w:fldLock="1"/>
      </w:r>
      <w:r w:rsidRPr="00E605D4">
        <w:rPr>
          <w:color w:val="auto"/>
        </w:rPr>
        <w:instrText>ADDIN CSL_CITATION {"citationItems":[{"id":"ITEM-1","itemData":{"DOI":"10.1016/j.msea.2018.09.077","ISSN":"09215093","PMID":"8119414","abstract":"The multiaxial yield and plastic flow behavior of Ti-6Al-4V manufactured in two orientations via laser powder bed fusion (L-PBF) additive manufacturing was investigated. The mechanical properties of L-PBF Ti-6Al-4V were evaluated under uniaxial tension, plane strain tension, pure shear, and combined tension/shear loading. The mechanical behavior was found to be stress state dependent and slightly anisotropic. A plasticity model, consisting of a Hill 1948 anisotropic yield criterion, associated flow rule, and an isotropic hardening law was calibrated and used to describe the yield and plasticity behavior of this material. Validation of the plasticity model under multiaxial stress states demonstrated that the model was able to predict the stress state dependent anisotropic plasticity behavior of this material.","author":[{"dropping-particle":"","family":"Wilson-Heid","given":"Alexander E.","non-dropping-particle":"","parse-names":false,"suffix":""},{"dropping-particle":"","family":"Qin","given":"Shipin","non-dropping-particle":"","parse-names":false,"suffix":""},{"dropping-particle":"","family":"Beese","given":"Allison M.","non-dropping-particle":"","parse-names":false,"suffix":""}],"container-title":"Materials Science and Engineering A","id":"ITEM-1","issue":"September","issued":{"date-parts":[["2018"]]},"page":"90-97","publisher":"Elsevier B.V.","title":"Anisotropic multiaxial plasticity model for laser powder bed fusion additively manufactured Ti-6Al-4V","type":"article-journal","volume":"738"},"uris":["http://www.mendeley.com/documents/?uuid=2c1f0cca-7787-4b44-8770-e4055b077fe0"]}],"mendeley":{"formattedCitation":"[19]","plainTextFormattedCitation":"[19]","previouslyFormattedCitation":"[18]"},"properties":{"noteIndex":0},"schema":"https://github.com/citation-style-language/schema/raw/master/csl-citation.json"}</w:instrText>
      </w:r>
      <w:r w:rsidRPr="00E605D4">
        <w:rPr>
          <w:color w:val="auto"/>
        </w:rPr>
        <w:fldChar w:fldCharType="separate"/>
      </w:r>
      <w:r w:rsidRPr="00E605D4">
        <w:rPr>
          <w:noProof/>
          <w:color w:val="auto"/>
        </w:rPr>
        <w:t>[19]</w:t>
      </w:r>
      <w:r w:rsidRPr="00E605D4">
        <w:rPr>
          <w:color w:val="auto"/>
        </w:rPr>
        <w:fldChar w:fldCharType="end"/>
      </w:r>
      <w:r w:rsidRPr="00E605D4">
        <w:rPr>
          <w:color w:val="auto"/>
        </w:rPr>
        <w:t xml:space="preserve"> were developed previously by the authors and used</w:t>
      </w:r>
      <w:r w:rsidRPr="00690745">
        <w:rPr>
          <w:color w:val="auto"/>
        </w:rPr>
        <w:t xml:space="preserve"> in simulations of each dense geometry using the finite element method in the commercial software Abaqus </w:t>
      </w:r>
      <w:r w:rsidRPr="00690745">
        <w:rPr>
          <w:color w:val="auto"/>
        </w:rPr>
        <w:fldChar w:fldCharType="begin" w:fldLock="1"/>
      </w:r>
      <w:r w:rsidRPr="00690745">
        <w:rPr>
          <w:color w:val="auto"/>
        </w:rPr>
        <w:instrText>ADDIN CSL_CITATION {"citationItems":[{"id":"ITEM-1","itemData":{"author":[{"dropping-particle":"","family":"Simulia","given":"","non-dropping-particle":"","parse-names":false,"suffix":""}],"id":"ITEM-1","issued":{"date-parts":[["2016"]]},"title":"Abaqus User Manual v2016","type":"article"},"uris":["http://www.mendeley.com/documents/?uuid=9fb65271-f192-4374-ad52-45ff6971ba6b"]}],"mendeley":{"formattedCitation":"[21]","plainTextFormattedCitation":"[21]","previouslyFormattedCitation":"[20]"},"properties":{"noteIndex":0},"schema":"https://github.com/citation-style-language/schema/raw/master/csl-citation.json"}</w:instrText>
      </w:r>
      <w:r w:rsidRPr="00690745">
        <w:rPr>
          <w:color w:val="auto"/>
        </w:rPr>
        <w:fldChar w:fldCharType="separate"/>
      </w:r>
      <w:r w:rsidRPr="00690745">
        <w:rPr>
          <w:noProof/>
          <w:color w:val="auto"/>
        </w:rPr>
        <w:t>[21]</w:t>
      </w:r>
      <w:r w:rsidRPr="00690745">
        <w:rPr>
          <w:color w:val="auto"/>
        </w:rPr>
        <w:fldChar w:fldCharType="end"/>
      </w:r>
      <w:r w:rsidRPr="00690745">
        <w:rPr>
          <w:color w:val="auto"/>
        </w:rPr>
        <w:t xml:space="preserve">; the complete model details for each fracture geometry are provided in Refs. </w:t>
      </w:r>
      <w:r w:rsidRPr="00690745">
        <w:rPr>
          <w:color w:val="auto"/>
        </w:rPr>
        <w:fldChar w:fldCharType="begin" w:fldLock="1"/>
      </w:r>
      <w:r w:rsidRPr="00690745">
        <w:rPr>
          <w:color w:val="auto"/>
        </w:rPr>
        <w:instrText>ADDIN CSL_CITATION {"citationItems":[{"id":"ITEM-1","itemData":{"DOI":"10.1016/j.actamat.2020.08.066","abstract":"Predicting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approach.","author":[{"dropping-particle":"","family":"Wilson-Heid","given":"Alexander E.","non-dropping-particle":"","parse-names":false,"suffix":""},{"dropping-particle":"","family":"Qin","given":"Shipin","non-dropping-particle":"","parse-names":false,"suffix":""},{"dropping-particle":"","family":"Beese","given":"Allison M.","non-dropping-particle":"","parse-names":false,"suffix":""}],"container-title":"Acta Materialia","id":"ITEM-1","issued":{"date-parts":[["2020"]]},"page":"1-15","title":"Multiaxial plasticity and fracture behavior of stainless steel 316L by laser powder bed fusion: Experiments and computational modeling","type":"article-journal","volume":"199"},"uris":["http://www.mendeley.com/documents/?uuid=f8b89951-f0c5-4c81-b9ab-cf2a9ff4ef45"]},{"id":"ITEM-2","itemData":{"DOI":"10.1016/j.msea.2019.05.097","ISSN":"09215093","author":[{"dropping-particle":"","family":"Wilson-Heid","given":"Alexander E.","non-dropping-particle":"","parse-names":false,"suffix":""},{"dropping-particle":"","family":"Beese","given":"Allison M.","non-dropping-particle":"","parse-names":false,"suffix":""}],"container-title":"Materials Science and Engineering: A","id":"ITEM-2","issue":"April","issued":{"date-parts":[["2019"]]},"page":"137967","publisher":"Elsevier B.V.","title":"Fracture of laser powder bed fusion additively manufactured Ti–6Al–4V under multiaxial loading: Calibration and comparison of fracture models","type":"article-journal"},"uris":["http://www.mendeley.com/documents/?uuid=0214daaa-5818-468b-8fc8-145995d34780"]},{"id":"ITEM-3","itemData":{"author":[{"dropping-particle":"","family":"Furton","given":"Erik","non-dropping-particle":"","parse-names":false,"suffix":""},{"dropping-particle":"","family":"Wilson-Heid","given":"Alexander E.","non-dropping-particle":"","parse-names":false,"suffix":""},{"dropping-particle":"","family":"Beese","given":"Allison M.","non-dropping-particle":"","parse-names":false,"suffix":""}],"container-title":"Submitted for publication","id":"ITEM-3","issued":{"date-parts":[["2021"]]},"title":"Effect of stress triaxiality and cylindrical porosity on tensile properties of laser powder bed fusion Ti‑6Al‑4V","type":"article-journal"},"uris":["http://www.mendeley.com/documents/?uuid=4d647e73-f6bd-4e4c-b563-c5d9668a69dc"]},{"id":"ITEM-4","itemData":{"DOI":"10.1016/j.addma.2021.101862","ISSN":"2214-8604","author":[{"dropping-particle":"","family":"Wilson-Heid","given":"Alexander E","non-dropping-particle":"","parse-names":false,"suffix":""},{"dropping-particle":"","family":"Beese","given":"Allison M","non-dropping-particle":"","parse-names":false,"suffix":""}],"container-title":"Additive Manufacturing","id":"ITEM-4","issued":{"date-parts":[["2021"]]},"publisher":"Elsevier B.V.","title":"Combined effects of porosity and stress state on the failure behavior of laser powder bed fusion stainless steel 316L","type":"article-journal","volume":"39"},"uris":["http://www.mendeley.com/documents/?uuid=51755b7c-3674-4144-9c83-20dd5df4dd82"]}],"mendeley":{"formattedCitation":"[16–18,20]","plainTextFormattedCitation":"[16–18,20]","previouslyFormattedCitation":"[15–17,19]"},"properties":{"noteIndex":0},"schema":"https://github.com/citation-style-language/schema/raw/master/csl-citation.json"}</w:instrText>
      </w:r>
      <w:r w:rsidRPr="00690745">
        <w:rPr>
          <w:color w:val="auto"/>
        </w:rPr>
        <w:fldChar w:fldCharType="separate"/>
      </w:r>
      <w:r w:rsidRPr="00690745">
        <w:rPr>
          <w:noProof/>
          <w:color w:val="auto"/>
        </w:rPr>
        <w:t>[16–18,20]</w:t>
      </w:r>
      <w:r w:rsidRPr="00690745">
        <w:rPr>
          <w:color w:val="auto"/>
        </w:rPr>
        <w:fldChar w:fldCharType="end"/>
      </w:r>
      <w:r w:rsidRPr="00690745">
        <w:rPr>
          <w:color w:val="auto"/>
        </w:rPr>
        <w:t>. Finite element analysis (FEA) simulations of each dense geometry were used to probe, as a function of applied displacement, the components of the Cauchy stress tensor (</w:t>
      </w:r>
      <m:oMath>
        <m:r>
          <m:rPr>
            <m:sty m:val="bi"/>
          </m:rPr>
          <w:rPr>
            <w:rFonts w:ascii="Cambria Math" w:hAnsi="Cambria Math"/>
            <w:color w:val="auto"/>
          </w:rPr>
          <m:t>σ</m:t>
        </m:r>
      </m:oMath>
      <w:r w:rsidRPr="00690745">
        <w:rPr>
          <w:rFonts w:eastAsia="DengXian"/>
          <w:color w:val="auto"/>
        </w:rPr>
        <w:t>)</w:t>
      </w:r>
      <w:r w:rsidRPr="00690745">
        <w:rPr>
          <w:color w:val="auto"/>
        </w:rPr>
        <w:t>, stress state (</w:t>
      </w:r>
      <w:r w:rsidRPr="00391C21">
        <w:rPr>
          <w:i/>
          <w:iCs/>
          <w:color w:val="auto"/>
        </w:rPr>
        <w:t>η</w:t>
      </w:r>
      <w:r w:rsidRPr="00690745">
        <w:rPr>
          <w:color w:val="auto"/>
        </w:rPr>
        <w:t xml:space="preserve"> and </w:t>
      </w:r>
      <m:oMath>
        <m:acc>
          <m:accPr>
            <m:chr m:val="̅"/>
            <m:ctrlPr>
              <w:rPr>
                <w:rFonts w:ascii="Cambria Math" w:eastAsia="DengXian" w:hAnsi="Cambria Math"/>
                <w:i/>
                <w:iCs/>
                <w:color w:val="auto"/>
              </w:rPr>
            </m:ctrlPr>
          </m:accPr>
          <m:e>
            <m:r>
              <w:rPr>
                <w:rFonts w:ascii="Cambria Math" w:eastAsia="DengXian" w:hAnsi="Cambria Math"/>
                <w:color w:val="auto"/>
              </w:rPr>
              <m:t>θ</m:t>
            </m:r>
          </m:e>
        </m:acc>
      </m:oMath>
      <w:r w:rsidRPr="00690745">
        <w:rPr>
          <w:color w:val="auto"/>
        </w:rPr>
        <w:t xml:space="preserve">), and von Mises </w:t>
      </w:r>
      <w:r w:rsidRPr="00690745">
        <w:rPr>
          <w:color w:val="auto"/>
        </w:rPr>
        <w:lastRenderedPageBreak/>
        <w:t>equivalent stress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oMath>
      <w:r w:rsidRPr="00690745">
        <w:rPr>
          <w:rFonts w:eastAsia="DengXian"/>
          <w:color w:val="auto"/>
        </w:rPr>
        <w:t>)</w:t>
      </w:r>
      <w:r w:rsidRPr="00690745">
        <w:rPr>
          <w:color w:val="auto"/>
        </w:rPr>
        <w:t xml:space="preserve"> and equivalent plastic strain (</w:t>
      </w:r>
      <m:oMath>
        <m:acc>
          <m:accPr>
            <m:chr m:val="̅"/>
            <m:ctrlPr>
              <w:rPr>
                <w:rFonts w:ascii="Cambria Math" w:eastAsia="DengXian" w:hAnsi="Cambria Math"/>
                <w:iCs/>
                <w:color w:val="auto"/>
              </w:rPr>
            </m:ctrlPr>
          </m:accPr>
          <m:e>
            <m:r>
              <w:rPr>
                <w:rFonts w:ascii="Cambria Math" w:eastAsia="DengXian" w:hAnsi="Cambria Math"/>
                <w:color w:val="auto"/>
              </w:rPr>
              <m:t>ε</m:t>
            </m:r>
          </m:e>
        </m:acc>
      </m:oMath>
      <w:r w:rsidRPr="00690745">
        <w:rPr>
          <w:rFonts w:eastAsia="DengXian"/>
          <w:iCs/>
          <w:color w:val="auto"/>
        </w:rPr>
        <w:t>)</w:t>
      </w:r>
      <w:r w:rsidRPr="00690745">
        <w:rPr>
          <w:color w:val="auto"/>
        </w:rPr>
        <w:t xml:space="preserve"> in the centerm</w:t>
      </w:r>
      <w:r w:rsidRPr="00E605D4">
        <w:rPr>
          <w:color w:val="auto"/>
        </w:rPr>
        <w:t xml:space="preserve">ost element of each sample geometry, which is where failure is assumed to initiate. Simulations were performed to mimic the experimental displacement to catastrophic failure of the dense specimens, as measured via the virtual extensometer in experiments and an equivalent extensometer in each of the FEA models. The average stress triaxiality and Lode angle parameter up to the experimentally measured displacement to failure for each test condition (i.e., pore size and sample geometry) </w:t>
      </w:r>
      <w:r w:rsidR="00CE6ED7">
        <w:rPr>
          <w:color w:val="auto"/>
        </w:rPr>
        <w:t>were</w:t>
      </w:r>
      <w:r w:rsidR="00CE6ED7" w:rsidRPr="00E605D4">
        <w:rPr>
          <w:color w:val="auto"/>
        </w:rPr>
        <w:t xml:space="preserve"> </w:t>
      </w:r>
      <w:r w:rsidRPr="00E605D4">
        <w:rPr>
          <w:color w:val="auto"/>
        </w:rPr>
        <w:t>calculated using:</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122C32DE" w14:textId="77777777" w:rsidTr="0017359C">
        <w:trPr>
          <w:trHeight w:val="340"/>
        </w:trPr>
        <w:tc>
          <w:tcPr>
            <w:tcW w:w="7426" w:type="dxa"/>
            <w:shd w:val="clear" w:color="auto" w:fill="auto"/>
            <w:vAlign w:val="center"/>
          </w:tcPr>
          <w:p w14:paraId="79172B57"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
                  <m:sSubPr>
                    <m:ctrlPr>
                      <w:rPr>
                        <w:rFonts w:ascii="Cambria Math" w:eastAsia="DengXian" w:hAnsi="Cambria Math"/>
                        <w:iCs/>
                        <w:color w:val="auto"/>
                      </w:rPr>
                    </m:ctrlPr>
                  </m:sSubPr>
                  <m:e>
                    <m:r>
                      <w:rPr>
                        <w:rFonts w:ascii="Cambria Math" w:eastAsia="DengXian" w:hAnsi="Cambria Math"/>
                        <w:color w:val="auto"/>
                      </w:rPr>
                      <m:t>η</m:t>
                    </m:r>
                  </m:e>
                  <m:sub>
                    <m:r>
                      <w:rPr>
                        <w:rFonts w:ascii="Cambria Math" w:eastAsia="DengXian" w:hAnsi="Cambria Math"/>
                        <w:color w:val="auto"/>
                      </w:rPr>
                      <m:t>av</m:t>
                    </m:r>
                  </m:sub>
                </m:sSub>
                <m:r>
                  <m:rPr>
                    <m:sty m:val="p"/>
                  </m:rPr>
                  <w:rPr>
                    <w:rFonts w:ascii="Cambria Math" w:eastAsia="DengXian" w:hAnsi="Cambria Math"/>
                    <w:color w:val="auto"/>
                  </w:rPr>
                  <m:t xml:space="preserve">= </m:t>
                </m:r>
                <m:f>
                  <m:fPr>
                    <m:ctrlPr>
                      <w:rPr>
                        <w:rFonts w:ascii="Cambria Math" w:eastAsia="DengXian" w:hAnsi="Cambria Math"/>
                        <w:iCs/>
                        <w:color w:val="auto"/>
                      </w:rPr>
                    </m:ctrlPr>
                  </m:fPr>
                  <m:num>
                    <m:r>
                      <m:rPr>
                        <m:sty m:val="p"/>
                      </m:rPr>
                      <w:rPr>
                        <w:rFonts w:ascii="Cambria Math" w:eastAsia="DengXian" w:hAnsi="Cambria Math"/>
                        <w:color w:val="auto"/>
                      </w:rPr>
                      <m:t>1</m:t>
                    </m:r>
                  </m:num>
                  <m:den>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p</m:t>
                        </m:r>
                      </m:sup>
                    </m:sSubSup>
                  </m:den>
                </m:f>
                <m:nary>
                  <m:naryPr>
                    <m:limLoc m:val="subSup"/>
                    <m:ctrlPr>
                      <w:rPr>
                        <w:rFonts w:ascii="Cambria Math" w:eastAsia="DengXian" w:hAnsi="Cambria Math"/>
                        <w:iCs/>
                        <w:color w:val="auto"/>
                      </w:rPr>
                    </m:ctrlPr>
                  </m:naryPr>
                  <m:sub>
                    <m:r>
                      <m:rPr>
                        <m:sty m:val="p"/>
                      </m:rPr>
                      <w:rPr>
                        <w:rFonts w:ascii="Cambria Math" w:eastAsia="DengXian" w:hAnsi="Cambria Math"/>
                        <w:color w:val="auto"/>
                      </w:rPr>
                      <m:t>0</m:t>
                    </m:r>
                  </m:sub>
                  <m:sup>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p</m:t>
                        </m:r>
                      </m:sup>
                    </m:sSubSup>
                  </m:sup>
                  <m:e>
                    <m:r>
                      <w:rPr>
                        <w:rFonts w:ascii="Cambria Math" w:eastAsia="DengXian" w:hAnsi="Cambria Math"/>
                        <w:color w:val="auto"/>
                      </w:rPr>
                      <m:t>η</m:t>
                    </m:r>
                    <m:r>
                      <m:rPr>
                        <m:sty m:val="p"/>
                      </m:rPr>
                      <w:rPr>
                        <w:rFonts w:ascii="Cambria Math" w:eastAsia="DengXian" w:hAnsi="Cambria Math"/>
                        <w:color w:val="auto"/>
                      </w:rPr>
                      <m:t xml:space="preserve"> </m:t>
                    </m:r>
                    <m:r>
                      <w:rPr>
                        <w:rFonts w:ascii="Cambria Math" w:eastAsia="DengXian" w:hAnsi="Cambria Math"/>
                        <w:color w:val="auto"/>
                      </w:rPr>
                      <m:t>d</m:t>
                    </m:r>
                    <m:acc>
                      <m:accPr>
                        <m:chr m:val="̅"/>
                        <m:ctrlPr>
                          <w:rPr>
                            <w:rFonts w:ascii="Cambria Math" w:eastAsia="DengXian" w:hAnsi="Cambria Math"/>
                            <w:iCs/>
                            <w:color w:val="auto"/>
                          </w:rPr>
                        </m:ctrlPr>
                      </m:accPr>
                      <m:e>
                        <m:r>
                          <w:rPr>
                            <w:rFonts w:ascii="Cambria Math" w:eastAsia="DengXian" w:hAnsi="Cambria Math"/>
                            <w:color w:val="auto"/>
                          </w:rPr>
                          <m:t>ε</m:t>
                        </m:r>
                      </m:e>
                    </m:acc>
                  </m:e>
                </m:nary>
              </m:oMath>
            </m:oMathPara>
          </w:p>
        </w:tc>
        <w:tc>
          <w:tcPr>
            <w:tcW w:w="430" w:type="dxa"/>
            <w:shd w:val="clear" w:color="auto" w:fill="auto"/>
            <w:vAlign w:val="center"/>
          </w:tcPr>
          <w:p w14:paraId="08E69D46" w14:textId="42EF1A6C"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3</w:t>
            </w:r>
            <w:r w:rsidRPr="00690745">
              <w:rPr>
                <w:rFonts w:eastAsia="DengXian"/>
                <w:iCs/>
                <w:color w:val="auto"/>
              </w:rPr>
              <w:fldChar w:fldCharType="end"/>
            </w:r>
            <w:r w:rsidRPr="00690745">
              <w:rPr>
                <w:rFonts w:eastAsia="DengXian"/>
                <w:iCs/>
                <w:color w:val="auto"/>
              </w:rPr>
              <w:t>)</w:t>
            </w:r>
          </w:p>
        </w:tc>
      </w:tr>
    </w:tbl>
    <w:p w14:paraId="44A8171C" w14:textId="559D976E" w:rsidR="00257B12" w:rsidRPr="00690745" w:rsidRDefault="00383D7F" w:rsidP="000676A0">
      <w:pPr>
        <w:pStyle w:val="MDPI32textnoindent"/>
        <w:rPr>
          <w:color w:val="auto"/>
        </w:rPr>
      </w:pPr>
      <w:r>
        <w:rPr>
          <w:color w:val="auto"/>
        </w:rPr>
        <w:t>a</w:t>
      </w:r>
      <w:r w:rsidRPr="00690745">
        <w:rPr>
          <w:color w:val="auto"/>
        </w:rPr>
        <w:t>nd</w:t>
      </w:r>
      <w:r>
        <w:rPr>
          <w:color w:val="auto"/>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43ACD892" w14:textId="77777777" w:rsidTr="0017359C">
        <w:trPr>
          <w:trHeight w:val="340"/>
        </w:trPr>
        <w:tc>
          <w:tcPr>
            <w:tcW w:w="7426" w:type="dxa"/>
            <w:shd w:val="clear" w:color="auto" w:fill="auto"/>
            <w:vAlign w:val="center"/>
          </w:tcPr>
          <w:p w14:paraId="7F8B6A4E"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θ</m:t>
                      </m:r>
                    </m:e>
                  </m:acc>
                </m:e>
                <m:sub>
                  <m:r>
                    <w:rPr>
                      <w:rFonts w:ascii="Cambria Math" w:eastAsia="DengXian" w:hAnsi="Cambria Math"/>
                      <w:color w:val="auto"/>
                    </w:rPr>
                    <m:t>av</m:t>
                  </m:r>
                </m:sub>
              </m:sSub>
              <m:r>
                <m:rPr>
                  <m:sty m:val="p"/>
                </m:rPr>
                <w:rPr>
                  <w:rFonts w:ascii="Cambria Math" w:eastAsia="DengXian" w:hAnsi="Cambria Math"/>
                  <w:color w:val="auto"/>
                </w:rPr>
                <m:t xml:space="preserve">= </m:t>
              </m:r>
              <m:f>
                <m:fPr>
                  <m:ctrlPr>
                    <w:rPr>
                      <w:rFonts w:ascii="Cambria Math" w:eastAsia="DengXian" w:hAnsi="Cambria Math"/>
                      <w:iCs/>
                      <w:color w:val="auto"/>
                    </w:rPr>
                  </m:ctrlPr>
                </m:fPr>
                <m:num>
                  <m:r>
                    <m:rPr>
                      <m:sty m:val="p"/>
                    </m:rPr>
                    <w:rPr>
                      <w:rFonts w:ascii="Cambria Math" w:eastAsia="DengXian" w:hAnsi="Cambria Math"/>
                      <w:color w:val="auto"/>
                    </w:rPr>
                    <m:t>1</m:t>
                  </m:r>
                </m:num>
                <m:den>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p</m:t>
                      </m:r>
                    </m:sup>
                  </m:sSubSup>
                </m:den>
              </m:f>
              <m:nary>
                <m:naryPr>
                  <m:limLoc m:val="subSup"/>
                  <m:ctrlPr>
                    <w:rPr>
                      <w:rFonts w:ascii="Cambria Math" w:eastAsia="DengXian" w:hAnsi="Cambria Math"/>
                      <w:iCs/>
                      <w:color w:val="auto"/>
                    </w:rPr>
                  </m:ctrlPr>
                </m:naryPr>
                <m:sub>
                  <m:r>
                    <m:rPr>
                      <m:sty m:val="p"/>
                    </m:rPr>
                    <w:rPr>
                      <w:rFonts w:ascii="Cambria Math" w:eastAsia="DengXian" w:hAnsi="Cambria Math"/>
                      <w:color w:val="auto"/>
                    </w:rPr>
                    <m:t>0</m:t>
                  </m:r>
                </m:sub>
                <m:sup>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p</m:t>
                      </m:r>
                    </m:sup>
                  </m:sSubSup>
                </m:sup>
                <m:e>
                  <m:acc>
                    <m:accPr>
                      <m:chr m:val="̅"/>
                      <m:ctrlPr>
                        <w:rPr>
                          <w:rFonts w:ascii="Cambria Math" w:eastAsia="DengXian" w:hAnsi="Cambria Math"/>
                          <w:iCs/>
                          <w:color w:val="auto"/>
                        </w:rPr>
                      </m:ctrlPr>
                    </m:accPr>
                    <m:e>
                      <m:r>
                        <w:rPr>
                          <w:rFonts w:ascii="Cambria Math" w:eastAsia="DengXian" w:hAnsi="Cambria Math"/>
                          <w:color w:val="auto"/>
                        </w:rPr>
                        <m:t>θ</m:t>
                      </m:r>
                    </m:e>
                  </m:acc>
                  <m:r>
                    <m:rPr>
                      <m:sty m:val="p"/>
                    </m:rPr>
                    <w:rPr>
                      <w:rFonts w:ascii="Cambria Math" w:eastAsia="DengXian" w:hAnsi="Cambria Math"/>
                      <w:color w:val="auto"/>
                    </w:rPr>
                    <m:t xml:space="preserve"> </m:t>
                  </m:r>
                  <m:r>
                    <w:rPr>
                      <w:rFonts w:ascii="Cambria Math" w:eastAsia="DengXian" w:hAnsi="Cambria Math"/>
                      <w:color w:val="auto"/>
                    </w:rPr>
                    <m:t>d</m:t>
                  </m:r>
                  <m:acc>
                    <m:accPr>
                      <m:chr m:val="̅"/>
                      <m:ctrlPr>
                        <w:rPr>
                          <w:rFonts w:ascii="Cambria Math" w:eastAsia="DengXian" w:hAnsi="Cambria Math"/>
                          <w:iCs/>
                          <w:color w:val="auto"/>
                        </w:rPr>
                      </m:ctrlPr>
                    </m:accPr>
                    <m:e>
                      <m:r>
                        <w:rPr>
                          <w:rFonts w:ascii="Cambria Math" w:eastAsia="DengXian" w:hAnsi="Cambria Math"/>
                          <w:color w:val="auto"/>
                        </w:rPr>
                        <m:t>ε</m:t>
                      </m:r>
                    </m:e>
                  </m:acc>
                </m:e>
              </m:nary>
            </m:oMath>
            <w:r w:rsidR="00257B12" w:rsidRPr="00690745">
              <w:rPr>
                <w:rFonts w:eastAsia="DengXian"/>
                <w:iCs/>
                <w:color w:val="auto"/>
              </w:rPr>
              <w:t>.</w:t>
            </w:r>
          </w:p>
        </w:tc>
        <w:tc>
          <w:tcPr>
            <w:tcW w:w="430" w:type="dxa"/>
            <w:shd w:val="clear" w:color="auto" w:fill="auto"/>
            <w:vAlign w:val="center"/>
          </w:tcPr>
          <w:p w14:paraId="227A2A13" w14:textId="67E551A0"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4</w:t>
            </w:r>
            <w:r w:rsidRPr="00690745">
              <w:rPr>
                <w:rFonts w:eastAsia="DengXian"/>
                <w:iCs/>
                <w:color w:val="auto"/>
              </w:rPr>
              <w:fldChar w:fldCharType="end"/>
            </w:r>
            <w:r w:rsidRPr="00690745">
              <w:rPr>
                <w:rFonts w:eastAsia="DengXian"/>
                <w:iCs/>
                <w:color w:val="auto"/>
              </w:rPr>
              <w:t>)</w:t>
            </w:r>
          </w:p>
        </w:tc>
      </w:tr>
    </w:tbl>
    <w:p w14:paraId="58FD1F52" w14:textId="77777777" w:rsidR="00257B12" w:rsidRPr="00690745" w:rsidRDefault="00257B12" w:rsidP="000676A0">
      <w:pPr>
        <w:pStyle w:val="MDPI31text"/>
        <w:rPr>
          <w:color w:val="auto"/>
        </w:rPr>
      </w:pPr>
      <w:bookmarkStart w:id="7" w:name="_Hlk74863856"/>
      <w:r w:rsidRPr="00690745">
        <w:rPr>
          <w:color w:val="auto"/>
        </w:rPr>
        <w:t xml:space="preserve">The equivalent stress from the FEA model was recorded at the displacement corresponding to the average experimental displacement to maximum force for every test condition. The equivalent plastic strain </w:t>
      </w:r>
      <w:r w:rsidRPr="00E605D4">
        <w:rPr>
          <w:color w:val="auto"/>
        </w:rPr>
        <w:t xml:space="preserve">from the FEA model was recorded at the displacement corresponding </w:t>
      </w:r>
      <w:r w:rsidRPr="00690745">
        <w:rPr>
          <w:color w:val="auto"/>
        </w:rPr>
        <w:t xml:space="preserve">to the average experimental displacement to catastrophic failure, or material separation, for every test condition. </w:t>
      </w:r>
    </w:p>
    <w:bookmarkEnd w:id="7"/>
    <w:p w14:paraId="01A7752B" w14:textId="77777777" w:rsidR="00257B12" w:rsidRPr="00690745" w:rsidRDefault="00257B12" w:rsidP="000676A0">
      <w:pPr>
        <w:pStyle w:val="MDPI31text"/>
        <w:rPr>
          <w:color w:val="auto"/>
        </w:rPr>
      </w:pPr>
      <w:r w:rsidRPr="00690745">
        <w:rPr>
          <w:color w:val="auto"/>
        </w:rPr>
        <w:t>To summarize, for both materials the data sets were analyzed in two different 3D spaces (</w:t>
      </w:r>
      <m:oMath>
        <m:sSub>
          <m:sSubPr>
            <m:ctrlPr>
              <w:rPr>
                <w:rFonts w:ascii="Cambria Math" w:eastAsia="DengXian" w:hAnsi="Cambria Math"/>
                <w:iCs/>
                <w:color w:val="auto"/>
              </w:rPr>
            </m:ctrlPr>
          </m:sSubPr>
          <m:e>
            <m:r>
              <w:rPr>
                <w:rFonts w:ascii="Cambria Math" w:eastAsia="DengXian" w:hAnsi="Cambria Math"/>
                <w:color w:val="auto"/>
              </w:rPr>
              <m:t>η</m:t>
            </m:r>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θ</m:t>
                </m:r>
              </m:e>
            </m:acc>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oMath>
      <w:r w:rsidRPr="00690745">
        <w:rPr>
          <w:rFonts w:eastAsia="DengXian"/>
          <w:color w:val="auto"/>
        </w:rPr>
        <w:t xml:space="preserve">), or equivalent stress space, and </w:t>
      </w:r>
      <w:r w:rsidRPr="00690745">
        <w:rPr>
          <w:color w:val="auto"/>
        </w:rPr>
        <w:t>(</w:t>
      </w:r>
      <m:oMath>
        <m:r>
          <w:rPr>
            <w:rFonts w:ascii="Cambria Math" w:eastAsia="DengXian" w:hAnsi="Cambria Math"/>
            <w:color w:val="auto"/>
          </w:rPr>
          <m:t>η(</m:t>
        </m:r>
        <m:acc>
          <m:accPr>
            <m:chr m:val="̅"/>
            <m:ctrlPr>
              <w:rPr>
                <w:rFonts w:ascii="Cambria Math" w:eastAsia="DengXian" w:hAnsi="Cambria Math"/>
                <w:iCs/>
                <w:color w:val="auto"/>
              </w:rPr>
            </m:ctrlPr>
          </m:accPr>
          <m:e>
            <m:r>
              <w:rPr>
                <w:rFonts w:ascii="Cambria Math" w:eastAsia="DengXian" w:hAnsi="Cambria Math"/>
                <w:color w:val="auto"/>
              </w:rPr>
              <m:t>ε</m:t>
            </m:r>
          </m:e>
        </m:acc>
        <m:r>
          <w:rPr>
            <w:rFonts w:ascii="Cambria Math" w:eastAsia="DengXian" w:hAnsi="Cambria Math"/>
            <w:color w:val="auto"/>
          </w:rPr>
          <m:t>)</m:t>
        </m:r>
      </m:oMath>
      <w:r w:rsidRPr="00690745">
        <w:rPr>
          <w:rFonts w:eastAsia="DengXian"/>
          <w:iCs/>
          <w:color w:val="auto"/>
        </w:rPr>
        <w:t xml:space="preserve">, </w:t>
      </w:r>
      <m:oMath>
        <m:acc>
          <m:accPr>
            <m:chr m:val="̅"/>
            <m:ctrlPr>
              <w:rPr>
                <w:rFonts w:ascii="Cambria Math" w:eastAsia="DengXian" w:hAnsi="Cambria Math"/>
                <w:iCs/>
                <w:color w:val="auto"/>
              </w:rPr>
            </m:ctrlPr>
          </m:accPr>
          <m:e>
            <m:r>
              <w:rPr>
                <w:rFonts w:ascii="Cambria Math" w:eastAsia="DengXian" w:hAnsi="Cambria Math"/>
                <w:color w:val="auto"/>
              </w:rPr>
              <m:t>θ</m:t>
            </m:r>
          </m:e>
        </m:acc>
        <m: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ε</m:t>
            </m:r>
          </m:e>
        </m:acc>
        <m:r>
          <w:rPr>
            <w:rFonts w:ascii="Cambria Math" w:eastAsia="DengXian" w:hAnsi="Cambria Math"/>
            <w:color w:val="auto"/>
          </w:rPr>
          <m:t>)</m:t>
        </m:r>
      </m:oMath>
      <w:r w:rsidRPr="00690745">
        <w:rPr>
          <w:rFonts w:eastAsia="DengXian"/>
          <w:iCs/>
          <w:color w:val="auto"/>
        </w:rPr>
        <w:t xml:space="preserve">, </w:t>
      </w:r>
      <m:oMath>
        <m:sSub>
          <m:sSubPr>
            <m:ctrlPr>
              <w:rPr>
                <w:rFonts w:ascii="Cambria Math" w:eastAsia="DengXian" w:hAnsi="Cambria Math"/>
                <w:i/>
                <w:iCs/>
                <w:color w:val="auto"/>
              </w:rPr>
            </m:ctrlPr>
          </m:sSubPr>
          <m:e>
            <m:acc>
              <m:accPr>
                <m:chr m:val="̅"/>
                <m:ctrlPr>
                  <w:rPr>
                    <w:rFonts w:ascii="Cambria Math" w:eastAsia="DengXian" w:hAnsi="Cambria Math"/>
                    <w:i/>
                    <w:iCs/>
                    <w:color w:val="auto"/>
                  </w:rPr>
                </m:ctrlPr>
              </m:accPr>
              <m:e>
                <m:r>
                  <w:rPr>
                    <w:rFonts w:ascii="Cambria Math" w:eastAsia="DengXian" w:hAnsi="Cambria Math"/>
                    <w:color w:val="auto"/>
                  </w:rPr>
                  <m:t>ε</m:t>
                </m:r>
              </m:e>
            </m:acc>
          </m:e>
          <m:sub>
            <m:r>
              <w:rPr>
                <w:rFonts w:ascii="Cambria Math" w:eastAsia="DengXian" w:hAnsi="Cambria Math"/>
                <w:color w:val="auto"/>
              </w:rPr>
              <m:t>f</m:t>
            </m:r>
          </m:sub>
        </m:sSub>
      </m:oMath>
      <w:r w:rsidRPr="00690745">
        <w:rPr>
          <w:rFonts w:eastAsia="DengXian"/>
          <w:color w:val="auto"/>
        </w:rPr>
        <w:t>), or equivalent strain space. For each 3D space there were five data points for the dense condition (</w:t>
      </w:r>
      <w:r w:rsidRPr="00690745">
        <w:rPr>
          <w:color w:val="auto"/>
        </w:rPr>
        <w:t xml:space="preserve">pure shear, punch, R3, R5, and R12) and three additional data points for each pore size (R3, R5, and R12). These data will be referred to in subsequent sections in the calibration of the fracture models in equivalent stress and strain spaces. </w:t>
      </w:r>
    </w:p>
    <w:p w14:paraId="1046A713" w14:textId="77777777" w:rsidR="00257B12" w:rsidRPr="00690745" w:rsidRDefault="000676A0" w:rsidP="000676A0">
      <w:pPr>
        <w:pStyle w:val="MDPI22heading2"/>
        <w:spacing w:before="240"/>
        <w:rPr>
          <w:color w:val="auto"/>
        </w:rPr>
      </w:pPr>
      <w:r w:rsidRPr="00690745">
        <w:rPr>
          <w:color w:val="auto"/>
        </w:rPr>
        <w:t xml:space="preserve">2.3. </w:t>
      </w:r>
      <w:r w:rsidR="00257B12" w:rsidRPr="00690745">
        <w:rPr>
          <w:color w:val="auto"/>
        </w:rPr>
        <w:t>Fracture Models</w:t>
      </w:r>
    </w:p>
    <w:p w14:paraId="01843D14" w14:textId="77777777" w:rsidR="00257B12" w:rsidRPr="00690745" w:rsidRDefault="00257B12" w:rsidP="000676A0">
      <w:pPr>
        <w:pStyle w:val="MDPI31text"/>
        <w:rPr>
          <w:color w:val="auto"/>
        </w:rPr>
      </w:pPr>
      <w:r w:rsidRPr="00690745">
        <w:rPr>
          <w:color w:val="auto"/>
        </w:rPr>
        <w:t>In this study, three fracture models were calibrated in the 3D equivalent stress space of (</w:t>
      </w:r>
      <m:oMath>
        <m:sSub>
          <m:sSubPr>
            <m:ctrlPr>
              <w:rPr>
                <w:rFonts w:ascii="Cambria Math" w:eastAsia="DengXian" w:hAnsi="Cambria Math"/>
                <w:iCs/>
                <w:color w:val="auto"/>
              </w:rPr>
            </m:ctrlPr>
          </m:sSubPr>
          <m:e>
            <m:r>
              <w:rPr>
                <w:rFonts w:ascii="Cambria Math" w:eastAsia="DengXian" w:hAnsi="Cambria Math"/>
                <w:color w:val="auto"/>
              </w:rPr>
              <m:t>η</m:t>
            </m:r>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θ</m:t>
                </m:r>
              </m:e>
            </m:acc>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oMath>
      <w:r w:rsidRPr="00690745">
        <w:rPr>
          <w:rFonts w:eastAsia="DengXian"/>
          <w:color w:val="auto"/>
        </w:rPr>
        <w:t xml:space="preserve">) and two fracture models in the 3D equivalent strain space of </w:t>
      </w:r>
      <w:r w:rsidRPr="00690745">
        <w:rPr>
          <w:color w:val="auto"/>
        </w:rPr>
        <w:t>(</w:t>
      </w:r>
      <m:oMath>
        <m:r>
          <w:rPr>
            <w:rFonts w:ascii="Cambria Math" w:eastAsia="DengXian" w:hAnsi="Cambria Math"/>
            <w:color w:val="auto"/>
          </w:rPr>
          <m:t>η(</m:t>
        </m:r>
        <m:acc>
          <m:accPr>
            <m:chr m:val="̅"/>
            <m:ctrlPr>
              <w:rPr>
                <w:rFonts w:ascii="Cambria Math" w:eastAsia="DengXian" w:hAnsi="Cambria Math"/>
                <w:iCs/>
                <w:color w:val="auto"/>
              </w:rPr>
            </m:ctrlPr>
          </m:accPr>
          <m:e>
            <m:r>
              <w:rPr>
                <w:rFonts w:ascii="Cambria Math" w:eastAsia="DengXian" w:hAnsi="Cambria Math"/>
                <w:color w:val="auto"/>
              </w:rPr>
              <m:t>ε</m:t>
            </m:r>
          </m:e>
        </m:acc>
        <m:r>
          <w:rPr>
            <w:rFonts w:ascii="Cambria Math" w:eastAsia="DengXian" w:hAnsi="Cambria Math"/>
            <w:color w:val="auto"/>
          </w:rPr>
          <m:t>)</m:t>
        </m:r>
      </m:oMath>
      <w:r w:rsidRPr="00690745">
        <w:rPr>
          <w:rFonts w:eastAsia="DengXian"/>
          <w:iCs/>
          <w:color w:val="auto"/>
        </w:rPr>
        <w:t xml:space="preserve">, </w:t>
      </w:r>
      <m:oMath>
        <m:acc>
          <m:accPr>
            <m:chr m:val="̅"/>
            <m:ctrlPr>
              <w:rPr>
                <w:rFonts w:ascii="Cambria Math" w:eastAsia="DengXian" w:hAnsi="Cambria Math"/>
                <w:iCs/>
                <w:color w:val="auto"/>
              </w:rPr>
            </m:ctrlPr>
          </m:accPr>
          <m:e>
            <m:r>
              <w:rPr>
                <w:rFonts w:ascii="Cambria Math" w:eastAsia="DengXian" w:hAnsi="Cambria Math"/>
                <w:color w:val="auto"/>
              </w:rPr>
              <m:t>θ</m:t>
            </m:r>
          </m:e>
        </m:acc>
        <m: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ε</m:t>
            </m:r>
          </m:e>
        </m:acc>
        <m:r>
          <w:rPr>
            <w:rFonts w:ascii="Cambria Math" w:eastAsia="DengXian" w:hAnsi="Cambria Math"/>
            <w:color w:val="auto"/>
          </w:rPr>
          <m:t>)</m:t>
        </m:r>
      </m:oMath>
      <w:r w:rsidRPr="00690745">
        <w:rPr>
          <w:rFonts w:eastAsia="DengXian"/>
          <w:iCs/>
          <w:color w:val="auto"/>
        </w:rPr>
        <w:t xml:space="preserve">, </w:t>
      </w:r>
      <m:oMath>
        <m:sSub>
          <m:sSubPr>
            <m:ctrlPr>
              <w:rPr>
                <w:rFonts w:ascii="Cambria Math" w:eastAsia="DengXian" w:hAnsi="Cambria Math"/>
                <w:i/>
                <w:iCs/>
                <w:color w:val="auto"/>
              </w:rPr>
            </m:ctrlPr>
          </m:sSubPr>
          <m:e>
            <m:acc>
              <m:accPr>
                <m:chr m:val="̅"/>
                <m:ctrlPr>
                  <w:rPr>
                    <w:rFonts w:ascii="Cambria Math" w:eastAsia="DengXian" w:hAnsi="Cambria Math"/>
                    <w:i/>
                    <w:iCs/>
                    <w:color w:val="auto"/>
                  </w:rPr>
                </m:ctrlPr>
              </m:accPr>
              <m:e>
                <m:r>
                  <w:rPr>
                    <w:rFonts w:ascii="Cambria Math" w:eastAsia="DengXian" w:hAnsi="Cambria Math"/>
                    <w:color w:val="auto"/>
                  </w:rPr>
                  <m:t>ε</m:t>
                </m:r>
              </m:e>
            </m:acc>
          </m:e>
          <m:sub>
            <m:r>
              <w:rPr>
                <w:rFonts w:ascii="Cambria Math" w:eastAsia="DengXian" w:hAnsi="Cambria Math"/>
                <w:color w:val="auto"/>
              </w:rPr>
              <m:t>f</m:t>
            </m:r>
          </m:sub>
        </m:sSub>
      </m:oMath>
      <w:r w:rsidRPr="00690745">
        <w:rPr>
          <w:rFonts w:eastAsia="DengXian"/>
          <w:color w:val="auto"/>
        </w:rPr>
        <w:t>), which are transformed versions of two of the stress-based models using assumed plasticity frameworks as described in Refs.</w:t>
      </w:r>
      <w:r w:rsidRPr="00690745">
        <w:rPr>
          <w:color w:val="auto"/>
        </w:rPr>
        <w:t xml:space="preserve"> </w:t>
      </w:r>
      <w:r w:rsidRPr="00690745">
        <w:rPr>
          <w:color w:val="auto"/>
        </w:rPr>
        <w:fldChar w:fldCharType="begin" w:fldLock="1"/>
      </w:r>
      <w:r w:rsidRPr="00690745">
        <w:rPr>
          <w:color w:val="auto"/>
        </w:rPr>
        <w:instrText>ADDIN CSL_CITATION {"citationItems":[{"id":"ITEM-1","itemData":{"DOI":"10.1007/s10704-009-9422-8","ISBN":"0376-9429","ISSN":"03769429","abstract":"The Mohr-Coulomb (M-C) fracture criterion is revisited with an objective of describing ductile fracture of isotropic crack-free solids. This criterion has been extensively used in rock and soil mechanics as it correctly accounts for the effects of hydrostatic pressure as well as the Lode angle parameter. It turns out that these two parameters, which are critical for characterizing fracture of geo-materials, also control fracture of ductile metals (Bai and Wierzbicki 2008; Xue 2007; Barsoum 2006; Wilkins et al. 1980). The local form of the M-C criterion is transformed/extended to the spherical coordinate system, where the axes are the equivalent strain to fracture (epsilon) over bar (f), the stress triaxiality eta and the normalized Lode angle parameter (theta) over bar. For a proportional loading, the fracture surface is shown to be an asymmetric function of (theta) over bar. A detailed parametric study is performed to demonstrate the effect of model parameters on the fracture locus. It was found that the M-C fracture locus predicts almost exactly the exponential decay of the material ductility with stress triaxiality, which is in accord with theoretical analysis of Rice and Tracey (1969) and the empirical equation of Hancock and Mackenzie (1976), Johnson and Cook (1985). The M-C criterion also predicts a form of Lode angle dependence which is close to parabolic. Test results of two materials, 2024-T351 aluminum alloy and TRIP RA-K40/70 (TRIP690) high strength steel sheets, are used to calibrate and validate the proposed M-C fracture model. Another advantage of the M-C fracture model is that it predicts uniquely the orientation of the fracture surface. It is shown that the direction cosines of the unit normal vector to the fracture surface are functions of the \"friction\" coefficient in the M-C criterion. The phenomenological and physical sound M-C criterion has a great potential to be used as an engineering tool for predicting ductile fracture.","author":[{"dropping-particle":"","family":"Bai","given":"Yuanli","non-dropping-particle":"","parse-names":false,"suffix":""},{"dropping-particle":"","family":"Wierzbicki","given":"Tomasz","non-dropping-particle":"","parse-names":false,"suffix":""}],"container-title":"International Journal of Fracture","id":"ITEM-1","issue":"1","issued":{"date-parts":[["2010"]]},"page":"1-20","title":"Application of extended Mohr-Coulomb criterion to ductile fracture","type":"article-journal","volume":"161"},"uris":["http://www.mendeley.com/documents/?uuid=93f6c1f8-fb22-4e48-93c5-801e2940ab78"]},{"id":"ITEM-2","itemData":{"DOI":"10.1016/j.engfracmech.2015.08.004","ISSN":"00137944","abstract":"An anisotropic extension of the Hosford-Coulomb localization criterion is obtained through the linear transformation of the stress tensor argument. Unlike for isotropic materials where the stress state is characterized through the stress triaxiality and Lode parameter, the normalized Cauchy stress tensor is used to describe the stress state in an anisotropic solid. Based on experiments on extruded aluminum 6260-T6 covering stress states from pure shear to equi-biaxial tension for different material orientations, it is shown that this phenomenological and uncoupled model is capable to provide reasonable engineering approximations of the strains and displacements to fracture for thirteen different loading conditions.","author":[{"dropping-particle":"","family":"Gu","given":"Gongyao","non-dropping-particle":"","parse-names":false,"suffix":""},{"dropping-particle":"","family":"Mohr","given":"Dirk","non-dropping-particle":"","parse-names":false,"suffix":""}],"container-title":"Engineering Fracture Mechanics","id":"ITEM-2","issued":{"date-parts":[["2015"]]},"page":"480-497","title":"Anisotropic Hosford-Coulomb fracture initiation model: Theory and application","type":"article-journal","volume":"147"},"uris":["http://www.mendeley.com/documents/?uuid=942b4da2-e4aa-4936-ad29-daa0ec860045"]}],"mendeley":{"formattedCitation":"[22,23]","plainTextFormattedCitation":"[22,23]","previouslyFormattedCitation":"[21,22]"},"properties":{"noteIndex":0},"schema":"https://github.com/citation-style-language/schema/raw/master/csl-citation.json"}</w:instrText>
      </w:r>
      <w:r w:rsidRPr="00690745">
        <w:rPr>
          <w:color w:val="auto"/>
        </w:rPr>
        <w:fldChar w:fldCharType="separate"/>
      </w:r>
      <w:r w:rsidRPr="00690745">
        <w:rPr>
          <w:noProof/>
          <w:color w:val="auto"/>
        </w:rPr>
        <w:t>[22,23]</w:t>
      </w:r>
      <w:r w:rsidRPr="00690745">
        <w:rPr>
          <w:color w:val="auto"/>
        </w:rPr>
        <w:fldChar w:fldCharType="end"/>
      </w:r>
      <w:r w:rsidRPr="00690745">
        <w:rPr>
          <w:color w:val="auto"/>
        </w:rPr>
        <w:t xml:space="preserve">. Each model was calibrated for the dense material and each pore size. </w:t>
      </w:r>
      <w:bookmarkStart w:id="8" w:name="_Hlk74777472"/>
      <w:r w:rsidRPr="00690745">
        <w:rPr>
          <w:color w:val="auto"/>
        </w:rPr>
        <w:t xml:space="preserve">For the fracture surface calibrations for dense material, the dense pure shear, punch, R3, R5, and R12 data were used. For each subsequent pore size, five tests were also used in calibration: the dense pure shear and punch data were used as “anchor points” as the pore configurations being considered in this study (with the cylinder axis oriented parallel to the vertical build direction) are assumed to have relatively negligible impact on ductility in those stress states, and the three notched tension data for the corresponding pore size. </w:t>
      </w:r>
    </w:p>
    <w:bookmarkEnd w:id="8"/>
    <w:p w14:paraId="4927D795" w14:textId="501514EA" w:rsidR="00257B12" w:rsidRPr="00E605D4" w:rsidRDefault="000676A0" w:rsidP="00D12BE5">
      <w:pPr>
        <w:pStyle w:val="MDPI23heading3"/>
        <w:spacing w:before="240"/>
        <w:ind w:left="2606"/>
        <w:rPr>
          <w:color w:val="auto"/>
        </w:rPr>
      </w:pPr>
      <w:r w:rsidRPr="00E605D4">
        <w:rPr>
          <w:color w:val="auto"/>
        </w:rPr>
        <w:t xml:space="preserve">2.3.1. </w:t>
      </w:r>
      <w:r w:rsidR="00257B12" w:rsidRPr="00E605D4">
        <w:rPr>
          <w:color w:val="auto"/>
        </w:rPr>
        <w:t xml:space="preserve">Equivalent </w:t>
      </w:r>
      <w:r w:rsidR="00564933" w:rsidRPr="00E605D4">
        <w:rPr>
          <w:color w:val="auto"/>
        </w:rPr>
        <w:t xml:space="preserve">Stress versus Stress Triaxiality </w:t>
      </w:r>
      <w:r w:rsidR="00257B12" w:rsidRPr="00E605D4">
        <w:rPr>
          <w:color w:val="auto"/>
        </w:rPr>
        <w:t xml:space="preserve">and </w:t>
      </w:r>
      <w:r w:rsidR="00564933" w:rsidRPr="00E605D4">
        <w:rPr>
          <w:color w:val="auto"/>
        </w:rPr>
        <w:t>Lode Angle Space</w:t>
      </w:r>
    </w:p>
    <w:p w14:paraId="188650E0" w14:textId="1738AA69" w:rsidR="00257B12" w:rsidRPr="00564933" w:rsidRDefault="00257B12" w:rsidP="00D12BE5">
      <w:pPr>
        <w:pStyle w:val="MDPI31text"/>
        <w:spacing w:before="60" w:after="60"/>
        <w:ind w:left="0" w:firstLine="2606"/>
        <w:rPr>
          <w:color w:val="auto"/>
          <w:highlight w:val="yellow"/>
        </w:rPr>
      </w:pPr>
      <w:r w:rsidRPr="00564933">
        <w:rPr>
          <w:color w:val="auto"/>
          <w:highlight w:val="yellow"/>
        </w:rPr>
        <w:t>Maximum stress failure criterion</w:t>
      </w:r>
    </w:p>
    <w:p w14:paraId="73D9719F" w14:textId="77777777" w:rsidR="00257B12" w:rsidRPr="00690745" w:rsidRDefault="00257B12" w:rsidP="000676A0">
      <w:pPr>
        <w:pStyle w:val="MDPI31text"/>
        <w:rPr>
          <w:color w:val="auto"/>
        </w:rPr>
      </w:pPr>
      <w:r w:rsidRPr="00E605D4">
        <w:rPr>
          <w:color w:val="auto"/>
        </w:rPr>
        <w:t xml:space="preserve">The maximum principal stress fracture criterion is based on the premise that a crack or defect will grow in a direction perpendicular to the maximum principal stress, resulting in failure when the maximum </w:t>
      </w:r>
      <w:r w:rsidRPr="00690745">
        <w:rPr>
          <w:color w:val="auto"/>
        </w:rPr>
        <w:t>principal stress reaches a critical value. This model is given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7DE24188" w14:textId="77777777" w:rsidTr="0017359C">
        <w:trPr>
          <w:trHeight w:val="340"/>
        </w:trPr>
        <w:tc>
          <w:tcPr>
            <w:tcW w:w="7426" w:type="dxa"/>
            <w:shd w:val="clear" w:color="auto" w:fill="auto"/>
            <w:vAlign w:val="center"/>
          </w:tcPr>
          <w:p w14:paraId="77E8CF34"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
                  <m:sSubPr>
                    <m:ctrlPr>
                      <w:rPr>
                        <w:rFonts w:ascii="Cambria Math" w:eastAsia="DengXian" w:hAnsi="Cambria Math"/>
                        <w:iCs/>
                        <w:color w:val="auto"/>
                      </w:rPr>
                    </m:ctrlPr>
                  </m:sSubPr>
                  <m:e>
                    <m:r>
                      <w:rPr>
                        <w:rFonts w:ascii="Cambria Math" w:eastAsia="DengXian" w:hAnsi="Cambria Math"/>
                        <w:color w:val="auto"/>
                      </w:rPr>
                      <m:t>σ</m:t>
                    </m:r>
                  </m:e>
                  <m:sub>
                    <m:r>
                      <w:rPr>
                        <w:rFonts w:ascii="Cambria Math" w:eastAsia="DengXian" w:hAnsi="Cambria Math"/>
                        <w:color w:val="auto"/>
                      </w:rPr>
                      <m:t>c</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σ</m:t>
                    </m:r>
                  </m:e>
                  <m:sub>
                    <m:r>
                      <w:rPr>
                        <w:rFonts w:ascii="Cambria Math" w:eastAsia="DengXian" w:hAnsi="Cambria Math"/>
                        <w:color w:val="auto"/>
                      </w:rPr>
                      <m:t>max</m:t>
                    </m:r>
                  </m:sub>
                </m:sSub>
                <m:r>
                  <m:rPr>
                    <m:sty m:val="p"/>
                  </m:rPr>
                  <w:rPr>
                    <w:rFonts w:ascii="Cambria Math" w:eastAsia="DengXian" w:hAnsi="Cambria Math"/>
                    <w:color w:val="auto"/>
                  </w:rPr>
                  <m:t>=max⁡(</m:t>
                </m:r>
                <m:sSub>
                  <m:sSubPr>
                    <m:ctrlPr>
                      <w:rPr>
                        <w:rFonts w:ascii="Cambria Math" w:eastAsia="DengXian" w:hAnsi="Cambria Math"/>
                        <w:iCs/>
                        <w:color w:val="auto"/>
                      </w:rPr>
                    </m:ctrlPr>
                  </m:sSubPr>
                  <m:e>
                    <m:r>
                      <w:rPr>
                        <w:rFonts w:ascii="Cambria Math" w:eastAsia="DengXian" w:hAnsi="Cambria Math"/>
                        <w:color w:val="auto"/>
                      </w:rPr>
                      <m:t>σ</m:t>
                    </m:r>
                  </m:e>
                  <m:sub>
                    <m:r>
                      <m:rPr>
                        <m:sty m:val="p"/>
                      </m:rPr>
                      <w:rPr>
                        <w:rFonts w:ascii="Cambria Math" w:eastAsia="DengXian" w:hAnsi="Cambria Math"/>
                        <w:color w:val="auto"/>
                      </w:rPr>
                      <m:t>1</m:t>
                    </m:r>
                  </m:sub>
                </m:sSub>
                <m:r>
                  <m:rPr>
                    <m:sty m:val="p"/>
                  </m:rPr>
                  <w:rPr>
                    <w:rFonts w:ascii="Cambria Math" w:eastAsia="DengXian" w:hAnsi="Cambria Math"/>
                    <w:color w:val="auto"/>
                  </w:rPr>
                  <m:t xml:space="preserve">, </m:t>
                </m:r>
                <m:sSub>
                  <m:sSubPr>
                    <m:ctrlPr>
                      <w:rPr>
                        <w:rFonts w:ascii="Cambria Math" w:eastAsia="DengXian" w:hAnsi="Cambria Math"/>
                        <w:iCs/>
                        <w:color w:val="auto"/>
                      </w:rPr>
                    </m:ctrlPr>
                  </m:sSubPr>
                  <m:e>
                    <m:r>
                      <w:rPr>
                        <w:rFonts w:ascii="Cambria Math" w:eastAsia="DengXian" w:hAnsi="Cambria Math"/>
                        <w:color w:val="auto"/>
                      </w:rPr>
                      <m:t>σ</m:t>
                    </m:r>
                  </m:e>
                  <m:sub>
                    <m:r>
                      <m:rPr>
                        <m:sty m:val="p"/>
                      </m:rPr>
                      <w:rPr>
                        <w:rFonts w:ascii="Cambria Math" w:eastAsia="DengXian" w:hAnsi="Cambria Math"/>
                        <w:color w:val="auto"/>
                      </w:rPr>
                      <m:t>2</m:t>
                    </m:r>
                  </m:sub>
                </m:sSub>
                <m:r>
                  <m:rPr>
                    <m:sty m:val="p"/>
                  </m:rPr>
                  <w:rPr>
                    <w:rFonts w:ascii="Cambria Math" w:eastAsia="DengXian" w:hAnsi="Cambria Math"/>
                    <w:color w:val="auto"/>
                  </w:rPr>
                  <m:t xml:space="preserve">, </m:t>
                </m:r>
                <m:sSub>
                  <m:sSubPr>
                    <m:ctrlPr>
                      <w:rPr>
                        <w:rFonts w:ascii="Cambria Math" w:eastAsia="DengXian" w:hAnsi="Cambria Math"/>
                        <w:iCs/>
                        <w:color w:val="auto"/>
                      </w:rPr>
                    </m:ctrlPr>
                  </m:sSubPr>
                  <m:e>
                    <m:r>
                      <w:rPr>
                        <w:rFonts w:ascii="Cambria Math" w:eastAsia="DengXian" w:hAnsi="Cambria Math"/>
                        <w:color w:val="auto"/>
                      </w:rPr>
                      <m:t>σ</m:t>
                    </m:r>
                  </m:e>
                  <m:sub>
                    <m:r>
                      <m:rPr>
                        <m:sty m:val="p"/>
                      </m:rPr>
                      <w:rPr>
                        <w:rFonts w:ascii="Cambria Math" w:eastAsia="DengXian" w:hAnsi="Cambria Math"/>
                        <w:color w:val="auto"/>
                      </w:rPr>
                      <m:t>3</m:t>
                    </m:r>
                  </m:sub>
                </m:sSub>
                <m:r>
                  <m:rPr>
                    <m:sty m:val="p"/>
                  </m:rPr>
                  <w:rPr>
                    <w:rFonts w:ascii="Cambria Math" w:eastAsia="DengXian" w:hAnsi="Cambria Math"/>
                    <w:color w:val="auto"/>
                  </w:rPr>
                  <m:t>)</m:t>
                </m:r>
              </m:oMath>
            </m:oMathPara>
          </w:p>
        </w:tc>
        <w:tc>
          <w:tcPr>
            <w:tcW w:w="430" w:type="dxa"/>
            <w:shd w:val="clear" w:color="auto" w:fill="auto"/>
            <w:vAlign w:val="center"/>
          </w:tcPr>
          <w:p w14:paraId="3961F434" w14:textId="5746B393"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5</w:t>
            </w:r>
            <w:r w:rsidRPr="00690745">
              <w:rPr>
                <w:rFonts w:eastAsia="DengXian"/>
                <w:iCs/>
                <w:color w:val="auto"/>
              </w:rPr>
              <w:fldChar w:fldCharType="end"/>
            </w:r>
            <w:r w:rsidRPr="00690745">
              <w:rPr>
                <w:rFonts w:eastAsia="DengXian"/>
                <w:iCs/>
                <w:color w:val="auto"/>
              </w:rPr>
              <w:t>)</w:t>
            </w:r>
          </w:p>
        </w:tc>
      </w:tr>
    </w:tbl>
    <w:p w14:paraId="6BF90C05" w14:textId="380EE2F2" w:rsidR="002220A2" w:rsidRDefault="00257B12" w:rsidP="000676A0">
      <w:pPr>
        <w:pStyle w:val="MDPI32textnoindent"/>
        <w:rPr>
          <w:rFonts w:eastAsia="DengXian"/>
          <w:color w:val="auto"/>
        </w:rPr>
      </w:pPr>
      <w:r w:rsidRPr="00690745">
        <w:rPr>
          <w:rFonts w:eastAsia="DengXian"/>
          <w:color w:val="auto"/>
        </w:rPr>
        <w:t xml:space="preserve">where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1</m:t>
            </m:r>
          </m:sub>
        </m:sSub>
      </m:oMath>
      <w:r w:rsidRPr="00690745">
        <w:rPr>
          <w:rFonts w:eastAsia="DengXian"/>
          <w:color w:val="auto"/>
        </w:rPr>
        <w:t xml:space="preserve">,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2</m:t>
            </m:r>
          </m:sub>
        </m:sSub>
      </m:oMath>
      <w:r w:rsidRPr="00690745">
        <w:rPr>
          <w:rFonts w:eastAsia="DengXian"/>
          <w:color w:val="auto"/>
        </w:rPr>
        <w:t xml:space="preserve">, and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3</m:t>
            </m:r>
          </m:sub>
        </m:sSub>
      </m:oMath>
      <w:r w:rsidRPr="00690745">
        <w:rPr>
          <w:rFonts w:eastAsia="DengXian"/>
          <w:color w:val="auto"/>
        </w:rPr>
        <w:t xml:space="preserve"> are the principal stress components, and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c</m:t>
            </m:r>
          </m:sub>
        </m:sSub>
      </m:oMath>
      <w:r w:rsidRPr="00690745">
        <w:rPr>
          <w:rFonts w:eastAsia="DengXian"/>
          <w:color w:val="auto"/>
        </w:rPr>
        <w:t xml:space="preserve"> is the critical maximum principal stress resulting in fracture.</w:t>
      </w:r>
      <w:r w:rsidR="000676A0" w:rsidRPr="00690745">
        <w:rPr>
          <w:rFonts w:eastAsia="DengXian"/>
          <w:color w:val="auto"/>
        </w:rPr>
        <w:t xml:space="preserve"> </w:t>
      </w:r>
      <w:r w:rsidRPr="00690745">
        <w:rPr>
          <w:rFonts w:eastAsia="DengXian"/>
          <w:color w:val="auto"/>
        </w:rPr>
        <w:t xml:space="preserve">For each notched tension geometry, the average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c</m:t>
            </m:r>
          </m:sub>
        </m:sSub>
      </m:oMath>
      <w:r w:rsidRPr="00690745">
        <w:rPr>
          <w:rFonts w:eastAsia="DengXian"/>
          <w:color w:val="auto"/>
        </w:rPr>
        <w:t xml:space="preserve"> values from the three notched tensions </w:t>
      </w:r>
      <w:r w:rsidRPr="00E605D4">
        <w:rPr>
          <w:rFonts w:eastAsia="DengXian"/>
          <w:color w:val="auto"/>
        </w:rPr>
        <w:t>tests for the dense data, as well as each pore size, were calculated and are given in Table</w:t>
      </w:r>
      <w:r w:rsidR="00564933">
        <w:rPr>
          <w:rFonts w:eastAsia="DengXian"/>
          <w:color w:val="auto"/>
        </w:rPr>
        <w:t>s</w:t>
      </w:r>
      <w:r w:rsidRPr="00E605D4">
        <w:rPr>
          <w:rFonts w:eastAsia="DengXian"/>
          <w:color w:val="auto"/>
        </w:rPr>
        <w:t xml:space="preserve"> 1 and 2 for both materials. To plot the maximum stress fracture loci for dense material and each pore size, von Mises equivalent </w:t>
      </w:r>
      <w:r w:rsidRPr="00E605D4">
        <w:rPr>
          <w:rFonts w:eastAsia="DengXian"/>
          <w:color w:val="auto"/>
        </w:rPr>
        <w:lastRenderedPageBreak/>
        <w:t xml:space="preserve">stress, </w:t>
      </w:r>
      <w:r w:rsidRPr="00391C21">
        <w:rPr>
          <w:i/>
          <w:iCs/>
          <w:color w:val="auto"/>
        </w:rPr>
        <w:t>η</w:t>
      </w:r>
      <w:r w:rsidRPr="00E605D4">
        <w:rPr>
          <w:color w:val="auto"/>
        </w:rPr>
        <w:t xml:space="preserve">, and </w:t>
      </w:r>
      <m:oMath>
        <m:acc>
          <m:accPr>
            <m:chr m:val="̅"/>
            <m:ctrlPr>
              <w:rPr>
                <w:rFonts w:ascii="Cambria Math" w:eastAsia="DengXian" w:hAnsi="Cambria Math"/>
                <w:i/>
                <w:iCs/>
                <w:color w:val="auto"/>
              </w:rPr>
            </m:ctrlPr>
          </m:accPr>
          <m:e>
            <m:r>
              <w:rPr>
                <w:rFonts w:ascii="Cambria Math" w:eastAsia="DengXian" w:hAnsi="Cambria Math"/>
                <w:color w:val="auto"/>
              </w:rPr>
              <m:t>θ</m:t>
            </m:r>
          </m:e>
        </m:acc>
      </m:oMath>
      <w:r w:rsidRPr="00E605D4">
        <w:rPr>
          <w:rFonts w:eastAsia="DengXian"/>
          <w:iCs/>
          <w:color w:val="auto"/>
        </w:rPr>
        <w:t xml:space="preserve"> were calculated and plotted as a function of the three principal stress components with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c</m:t>
            </m:r>
          </m:sub>
        </m:sSub>
      </m:oMath>
      <w:r w:rsidRPr="00E605D4">
        <w:rPr>
          <w:rFonts w:eastAsia="DengXian"/>
          <w:color w:val="auto"/>
        </w:rPr>
        <w:t xml:space="preserve"> </w:t>
      </w:r>
      <w:r w:rsidRPr="00E605D4">
        <w:rPr>
          <w:rFonts w:eastAsia="DengXian"/>
          <w:iCs/>
          <w:color w:val="auto"/>
        </w:rPr>
        <w:t>held constant</w:t>
      </w:r>
      <w:r w:rsidRPr="00E605D4">
        <w:rPr>
          <w:rFonts w:eastAsia="DengXian"/>
          <w:color w:val="auto"/>
        </w:rPr>
        <w:t xml:space="preserve">. The discrete points were then interpolated to generate a fracture locus using only a single </w:t>
      </w:r>
      <w:r w:rsidRPr="00690745">
        <w:rPr>
          <w:rFonts w:eastAsia="DengXian"/>
          <w:color w:val="auto"/>
        </w:rPr>
        <w:t xml:space="preserve">input, </w:t>
      </w:r>
      <m:oMath>
        <m:sSub>
          <m:sSubPr>
            <m:ctrlPr>
              <w:rPr>
                <w:rFonts w:ascii="Cambria Math" w:hAnsi="Cambria Math"/>
                <w:i/>
                <w:color w:val="auto"/>
              </w:rPr>
            </m:ctrlPr>
          </m:sSubPr>
          <m:e>
            <m:r>
              <w:rPr>
                <w:rFonts w:ascii="Cambria Math" w:hAnsi="Cambria Math"/>
                <w:color w:val="auto"/>
              </w:rPr>
              <m:t>σ</m:t>
            </m:r>
          </m:e>
          <m:sub>
            <m:r>
              <w:rPr>
                <w:rFonts w:ascii="Cambria Math" w:hAnsi="Cambria Math"/>
                <w:color w:val="auto"/>
              </w:rPr>
              <m:t>c</m:t>
            </m:r>
          </m:sub>
        </m:sSub>
        <m:r>
          <m:rPr>
            <m:sty m:val="p"/>
          </m:rPr>
          <w:rPr>
            <w:rFonts w:ascii="Cambria Math" w:eastAsia="DengXian" w:hAnsi="Cambria Math"/>
            <w:color w:val="auto"/>
          </w:rPr>
          <m:t xml:space="preserve"> </m:t>
        </m:r>
      </m:oMath>
      <w:r w:rsidRPr="00690745">
        <w:rPr>
          <w:rFonts w:eastAsia="DengXian"/>
          <w:color w:val="auto"/>
        </w:rPr>
        <w:t xml:space="preserve">. </w:t>
      </w:r>
    </w:p>
    <w:p w14:paraId="4C4F0158" w14:textId="1E22CE4E" w:rsidR="00257B12" w:rsidRDefault="000676A0" w:rsidP="000676A0">
      <w:pPr>
        <w:pStyle w:val="MDPI41tablecaption"/>
        <w:jc w:val="both"/>
        <w:rPr>
          <w:color w:val="auto"/>
        </w:rPr>
      </w:pPr>
      <w:r w:rsidRPr="00690745">
        <w:rPr>
          <w:b/>
          <w:bCs/>
          <w:color w:val="auto"/>
        </w:rPr>
        <w:t xml:space="preserve">Table 1. </w:t>
      </w:r>
      <w:r w:rsidR="00257B12" w:rsidRPr="00690745">
        <w:rPr>
          <w:color w:val="auto"/>
        </w:rPr>
        <w:t xml:space="preserve">Calibrated stress-based fracture model parameters </w:t>
      </w:r>
      <w:r w:rsidR="00257B12" w:rsidRPr="00E605D4">
        <w:rPr>
          <w:color w:val="auto"/>
        </w:rPr>
        <w:t xml:space="preserve">for 316L using data from dense pure shear and </w:t>
      </w:r>
      <w:proofErr w:type="spellStart"/>
      <w:r w:rsidR="00257B12" w:rsidRPr="00E605D4">
        <w:rPr>
          <w:color w:val="auto"/>
        </w:rPr>
        <w:t>equibiaxial</w:t>
      </w:r>
      <w:proofErr w:type="spellEnd"/>
      <w:r w:rsidR="00257B12" w:rsidRPr="00E605D4">
        <w:rPr>
          <w:color w:val="auto"/>
        </w:rPr>
        <w:t xml:space="preserve"> </w:t>
      </w:r>
      <w:r w:rsidR="006101AB" w:rsidRPr="0052483E">
        <w:t>tension tests combined with dense,</w:t>
      </w:r>
      <w:r w:rsidR="00257B12" w:rsidRPr="00E605D4">
        <w:rPr>
          <w:color w:val="auto"/>
        </w:rPr>
        <w:t xml:space="preserve"> 300 µm, 600 µm, 1200 µm, and 2400 µm pore round notched tension tests. Error is the mean absolute percentage error for the model predicted values of equivalent stress on the fracture surface compared to the experimental values of equivalent stress across each stress state used in calibration.</w:t>
      </w:r>
    </w:p>
    <w:tbl>
      <w:tblPr>
        <w:tblW w:w="7857" w:type="dxa"/>
        <w:tblInd w:w="2608" w:type="dxa"/>
        <w:tblLayout w:type="fixed"/>
        <w:tblCellMar>
          <w:left w:w="0" w:type="dxa"/>
          <w:right w:w="0" w:type="dxa"/>
        </w:tblCellMar>
        <w:tblLook w:val="0420" w:firstRow="1" w:lastRow="0" w:firstColumn="0" w:lastColumn="0" w:noHBand="0" w:noVBand="1"/>
      </w:tblPr>
      <w:tblGrid>
        <w:gridCol w:w="1113"/>
        <w:gridCol w:w="1134"/>
        <w:gridCol w:w="1118"/>
        <w:gridCol w:w="1112"/>
        <w:gridCol w:w="1112"/>
        <w:gridCol w:w="1114"/>
        <w:gridCol w:w="1154"/>
      </w:tblGrid>
      <w:tr w:rsidR="00690745" w:rsidRPr="00E605D4" w14:paraId="4DE29167" w14:textId="77777777" w:rsidTr="0030685B">
        <w:trPr>
          <w:cantSplit/>
        </w:trPr>
        <w:tc>
          <w:tcPr>
            <w:tcW w:w="2247" w:type="dxa"/>
            <w:gridSpan w:val="2"/>
            <w:vMerge w:val="restar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hideMark/>
          </w:tcPr>
          <w:p w14:paraId="0DF36B9B"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r w:rsidRPr="00E605D4">
              <w:rPr>
                <w:rFonts w:eastAsia="Times New Roman"/>
                <w:b/>
                <w:bCs/>
                <w:color w:val="auto"/>
                <w:kern w:val="24"/>
                <w:sz w:val="18"/>
              </w:rPr>
              <w:t>L-PBF 316L</w:t>
            </w:r>
          </w:p>
        </w:tc>
        <w:tc>
          <w:tcPr>
            <w:tcW w:w="5610" w:type="dxa"/>
            <w:gridSpan w:val="5"/>
            <w:tcBorders>
              <w:top w:val="single" w:sz="8"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4E73DC9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Pore Diameter (µm)</w:t>
            </w:r>
          </w:p>
        </w:tc>
      </w:tr>
      <w:tr w:rsidR="00690745" w:rsidRPr="00E605D4" w14:paraId="171A8E41" w14:textId="77777777" w:rsidTr="0030685B">
        <w:trPr>
          <w:cantSplit/>
        </w:trPr>
        <w:tc>
          <w:tcPr>
            <w:tcW w:w="2247" w:type="dxa"/>
            <w:gridSpan w:val="2"/>
            <w:vMerge/>
            <w:tcBorders>
              <w:top w:val="single" w:sz="8" w:space="0" w:color="000000"/>
              <w:left w:val="nil"/>
              <w:bottom w:val="single" w:sz="4" w:space="0" w:color="auto"/>
              <w:right w:val="nil"/>
            </w:tcBorders>
            <w:shd w:val="clear" w:color="auto" w:fill="auto"/>
            <w:vAlign w:val="center"/>
            <w:hideMark/>
          </w:tcPr>
          <w:p w14:paraId="07F102A0"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p>
        </w:tc>
        <w:tc>
          <w:tcPr>
            <w:tcW w:w="1118"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43FE5E4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Dense</w:t>
            </w:r>
          </w:p>
        </w:tc>
        <w:tc>
          <w:tcPr>
            <w:tcW w:w="1112"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074E0A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300</w:t>
            </w:r>
          </w:p>
        </w:tc>
        <w:tc>
          <w:tcPr>
            <w:tcW w:w="1112"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EDB4C5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600</w:t>
            </w:r>
          </w:p>
        </w:tc>
        <w:tc>
          <w:tcPr>
            <w:tcW w:w="1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E0CB87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1200</w:t>
            </w:r>
          </w:p>
        </w:tc>
        <w:tc>
          <w:tcPr>
            <w:tcW w:w="115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90D87A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2400</w:t>
            </w:r>
          </w:p>
        </w:tc>
      </w:tr>
      <w:tr w:rsidR="00690745" w:rsidRPr="00E605D4" w14:paraId="08EA4C2D" w14:textId="77777777" w:rsidTr="00391C21">
        <w:trPr>
          <w:cantSplit/>
          <w:trHeight w:val="616"/>
        </w:trPr>
        <w:tc>
          <w:tcPr>
            <w:tcW w:w="111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textDirection w:val="btLr"/>
            <w:vAlign w:val="center"/>
            <w:hideMark/>
          </w:tcPr>
          <w:p w14:paraId="70D01313"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r w:rsidRPr="00690745">
              <w:rPr>
                <w:rFonts w:eastAsia="Times New Roman"/>
                <w:b/>
                <w:bCs/>
                <w:color w:val="auto"/>
                <w:kern w:val="24"/>
                <w:sz w:val="18"/>
                <w:highlight w:val="yellow"/>
              </w:rPr>
              <w:t>Max Stress</w:t>
            </w:r>
          </w:p>
        </w:tc>
        <w:tc>
          <w:tcPr>
            <w:tcW w:w="113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978BA55"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cs="Arial"/>
                        <w:b/>
                        <w:bCs/>
                        <w:i/>
                        <w:iCs/>
                        <w:color w:val="auto"/>
                        <w:kern w:val="24"/>
                        <w:sz w:val="18"/>
                        <w:highlight w:val="yellow"/>
                      </w:rPr>
                    </m:ctrlPr>
                  </m:sSubPr>
                  <m:e>
                    <m:r>
                      <m:rPr>
                        <m:sty m:val="bi"/>
                      </m:rPr>
                      <w:rPr>
                        <w:rFonts w:ascii="Cambria Math" w:eastAsia="Times New Roman" w:hAnsi="Cambria Math" w:cs="Arial"/>
                        <w:color w:val="auto"/>
                        <w:kern w:val="24"/>
                        <w:sz w:val="18"/>
                        <w:highlight w:val="yellow"/>
                        <w:lang w:val="el-GR"/>
                      </w:rPr>
                      <m:t>σ</m:t>
                    </m:r>
                  </m:e>
                  <m:sub>
                    <m:r>
                      <m:rPr>
                        <m:sty m:val="bi"/>
                      </m:rPr>
                      <w:rPr>
                        <w:rFonts w:ascii="Cambria Math" w:eastAsia="Times New Roman" w:hAnsi="Cambria Math" w:cs="Arial"/>
                        <w:color w:val="auto"/>
                        <w:kern w:val="24"/>
                        <w:sz w:val="18"/>
                        <w:highlight w:val="yellow"/>
                      </w:rPr>
                      <m:t>max</m:t>
                    </m:r>
                  </m:sub>
                </m:sSub>
              </m:oMath>
            </m:oMathPara>
          </w:p>
        </w:tc>
        <w:tc>
          <w:tcPr>
            <w:tcW w:w="1118"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791479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DengXian"/>
                <w:color w:val="auto"/>
                <w:kern w:val="24"/>
                <w:sz w:val="18"/>
              </w:rPr>
              <w:t>1135</w:t>
            </w:r>
          </w:p>
        </w:tc>
        <w:tc>
          <w:tcPr>
            <w:tcW w:w="111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B74375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DengXian"/>
                <w:color w:val="auto"/>
                <w:kern w:val="24"/>
                <w:sz w:val="18"/>
              </w:rPr>
              <w:t>1151</w:t>
            </w:r>
          </w:p>
        </w:tc>
        <w:tc>
          <w:tcPr>
            <w:tcW w:w="1112"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47AA82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DengXian"/>
                <w:color w:val="auto"/>
                <w:kern w:val="24"/>
                <w:sz w:val="18"/>
              </w:rPr>
              <w:t>1128</w:t>
            </w:r>
          </w:p>
        </w:tc>
        <w:tc>
          <w:tcPr>
            <w:tcW w:w="111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092449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DengXian"/>
                <w:color w:val="auto"/>
                <w:kern w:val="24"/>
                <w:sz w:val="18"/>
              </w:rPr>
              <w:t>1073</w:t>
            </w:r>
          </w:p>
        </w:tc>
        <w:tc>
          <w:tcPr>
            <w:tcW w:w="1154"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65F812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DengXian"/>
                <w:color w:val="auto"/>
                <w:kern w:val="24"/>
                <w:sz w:val="18"/>
              </w:rPr>
              <w:t>1017</w:t>
            </w:r>
          </w:p>
        </w:tc>
      </w:tr>
      <w:tr w:rsidR="00690745" w:rsidRPr="00E605D4" w14:paraId="7CD5A00A" w14:textId="77777777" w:rsidTr="00391C21">
        <w:trPr>
          <w:cantSplit/>
          <w:trHeight w:val="116"/>
        </w:trPr>
        <w:tc>
          <w:tcPr>
            <w:tcW w:w="1113"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1F7904C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Mohr-Coulomb</w:t>
            </w:r>
          </w:p>
        </w:tc>
        <w:tc>
          <w:tcPr>
            <w:tcW w:w="1134"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00B858FA"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1</m:t>
                    </m:r>
                  </m:sub>
                </m:sSub>
              </m:oMath>
            </m:oMathPara>
          </w:p>
        </w:tc>
        <w:tc>
          <w:tcPr>
            <w:tcW w:w="1118"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B3A21C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0.516</w:t>
            </w:r>
          </w:p>
        </w:tc>
        <w:tc>
          <w:tcPr>
            <w:tcW w:w="111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02E703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0.507</w:t>
            </w:r>
          </w:p>
        </w:tc>
        <w:tc>
          <w:tcPr>
            <w:tcW w:w="111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092BCC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0.468</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860E1E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0.383</w:t>
            </w:r>
          </w:p>
        </w:tc>
        <w:tc>
          <w:tcPr>
            <w:tcW w:w="115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7C6486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0.337</w:t>
            </w:r>
          </w:p>
        </w:tc>
      </w:tr>
      <w:tr w:rsidR="0030685B" w:rsidRPr="00E605D4" w14:paraId="1AA3D41D" w14:textId="77777777" w:rsidTr="00391C21">
        <w:trPr>
          <w:cantSplit/>
          <w:trHeight w:val="156"/>
        </w:trPr>
        <w:tc>
          <w:tcPr>
            <w:tcW w:w="1113" w:type="dxa"/>
            <w:vMerge/>
            <w:tcBorders>
              <w:top w:val="single" w:sz="8" w:space="0" w:color="000000"/>
              <w:left w:val="nil"/>
              <w:bottom w:val="single" w:sz="8" w:space="0" w:color="000000"/>
              <w:right w:val="nil"/>
            </w:tcBorders>
            <w:shd w:val="clear" w:color="auto" w:fill="auto"/>
            <w:vAlign w:val="center"/>
            <w:hideMark/>
          </w:tcPr>
          <w:p w14:paraId="2A69980B"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2FFAB3F1"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2</m:t>
                    </m:r>
                  </m:sub>
                </m:sSub>
              </m:oMath>
            </m:oMathPara>
          </w:p>
        </w:tc>
        <w:tc>
          <w:tcPr>
            <w:tcW w:w="1118" w:type="dxa"/>
            <w:tcBorders>
              <w:top w:val="nil"/>
              <w:left w:val="nil"/>
              <w:bottom w:val="nil"/>
              <w:right w:val="nil"/>
            </w:tcBorders>
            <w:shd w:val="clear" w:color="auto" w:fill="auto"/>
            <w:tcMar>
              <w:top w:w="15" w:type="dxa"/>
              <w:left w:w="15" w:type="dxa"/>
              <w:bottom w:w="0" w:type="dxa"/>
              <w:right w:w="15" w:type="dxa"/>
            </w:tcMar>
            <w:vAlign w:val="center"/>
            <w:hideMark/>
          </w:tcPr>
          <w:p w14:paraId="3FD5E52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800</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0BC45F9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788</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0793B83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736</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90FBF3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624</w:t>
            </w:r>
          </w:p>
        </w:tc>
        <w:tc>
          <w:tcPr>
            <w:tcW w:w="1154" w:type="dxa"/>
            <w:tcBorders>
              <w:top w:val="nil"/>
              <w:left w:val="nil"/>
              <w:bottom w:val="nil"/>
              <w:right w:val="nil"/>
            </w:tcBorders>
            <w:shd w:val="clear" w:color="auto" w:fill="auto"/>
            <w:tcMar>
              <w:top w:w="15" w:type="dxa"/>
              <w:left w:w="15" w:type="dxa"/>
              <w:bottom w:w="0" w:type="dxa"/>
              <w:right w:w="15" w:type="dxa"/>
            </w:tcMar>
            <w:vAlign w:val="center"/>
            <w:hideMark/>
          </w:tcPr>
          <w:p w14:paraId="7C27B6F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564</w:t>
            </w:r>
          </w:p>
        </w:tc>
      </w:tr>
      <w:tr w:rsidR="00690745" w:rsidRPr="00E605D4" w14:paraId="2A5A0BF8" w14:textId="77777777" w:rsidTr="00391C21">
        <w:trPr>
          <w:cantSplit/>
          <w:trHeight w:val="20"/>
        </w:trPr>
        <w:tc>
          <w:tcPr>
            <w:tcW w:w="1113" w:type="dxa"/>
            <w:vMerge/>
            <w:tcBorders>
              <w:top w:val="single" w:sz="8" w:space="0" w:color="000000"/>
              <w:left w:val="nil"/>
              <w:bottom w:val="single" w:sz="4" w:space="0" w:color="auto"/>
              <w:right w:val="nil"/>
            </w:tcBorders>
            <w:shd w:val="clear" w:color="auto" w:fill="auto"/>
            <w:vAlign w:val="center"/>
            <w:hideMark/>
          </w:tcPr>
          <w:p w14:paraId="1A0D2C09"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134"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065F2466"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11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B04095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5.2%</w:t>
            </w:r>
          </w:p>
        </w:tc>
        <w:tc>
          <w:tcPr>
            <w:tcW w:w="111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4E70F7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5.0%</w:t>
            </w:r>
          </w:p>
        </w:tc>
        <w:tc>
          <w:tcPr>
            <w:tcW w:w="111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F4A3A2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5.6%</w:t>
            </w:r>
          </w:p>
        </w:tc>
        <w:tc>
          <w:tcPr>
            <w:tcW w:w="111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DA5BAC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6.7%</w:t>
            </w:r>
          </w:p>
        </w:tc>
        <w:tc>
          <w:tcPr>
            <w:tcW w:w="115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9FBC24E"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9.7%</w:t>
            </w:r>
          </w:p>
        </w:tc>
      </w:tr>
      <w:tr w:rsidR="00690745" w:rsidRPr="00E605D4" w14:paraId="2D1C8BA2" w14:textId="77777777" w:rsidTr="00391C21">
        <w:trPr>
          <w:cantSplit/>
        </w:trPr>
        <w:tc>
          <w:tcPr>
            <w:tcW w:w="1113"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5B89F691"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Hosford-Coulomb</w:t>
            </w:r>
          </w:p>
        </w:tc>
        <w:tc>
          <w:tcPr>
            <w:tcW w:w="1134"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56C511D5"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a</w:t>
            </w:r>
          </w:p>
        </w:tc>
        <w:tc>
          <w:tcPr>
            <w:tcW w:w="1118"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14A0D9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1.11</w:t>
            </w:r>
          </w:p>
        </w:tc>
        <w:tc>
          <w:tcPr>
            <w:tcW w:w="111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0F750C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1.32</w:t>
            </w:r>
          </w:p>
        </w:tc>
        <w:tc>
          <w:tcPr>
            <w:tcW w:w="111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AE40CE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1.42</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9D110D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1.44</w:t>
            </w:r>
          </w:p>
        </w:tc>
        <w:tc>
          <w:tcPr>
            <w:tcW w:w="115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48067D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1.50</w:t>
            </w:r>
          </w:p>
        </w:tc>
      </w:tr>
      <w:tr w:rsidR="0030685B" w:rsidRPr="00E605D4" w14:paraId="3BA378FF" w14:textId="77777777" w:rsidTr="0030685B">
        <w:trPr>
          <w:cantSplit/>
        </w:trPr>
        <w:tc>
          <w:tcPr>
            <w:tcW w:w="1113" w:type="dxa"/>
            <w:vMerge/>
            <w:tcBorders>
              <w:top w:val="single" w:sz="8" w:space="0" w:color="000000"/>
              <w:left w:val="nil"/>
              <w:bottom w:val="single" w:sz="8" w:space="0" w:color="000000"/>
              <w:right w:val="nil"/>
            </w:tcBorders>
            <w:shd w:val="clear" w:color="auto" w:fill="auto"/>
            <w:vAlign w:val="center"/>
            <w:hideMark/>
          </w:tcPr>
          <w:p w14:paraId="3B25883D"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29E86374"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b</w:t>
            </w:r>
          </w:p>
        </w:tc>
        <w:tc>
          <w:tcPr>
            <w:tcW w:w="1118" w:type="dxa"/>
            <w:tcBorders>
              <w:top w:val="nil"/>
              <w:left w:val="nil"/>
              <w:bottom w:val="nil"/>
              <w:right w:val="nil"/>
            </w:tcBorders>
            <w:shd w:val="clear" w:color="auto" w:fill="auto"/>
            <w:tcMar>
              <w:top w:w="15" w:type="dxa"/>
              <w:left w:w="15" w:type="dxa"/>
              <w:bottom w:w="0" w:type="dxa"/>
              <w:right w:w="15" w:type="dxa"/>
            </w:tcMar>
            <w:vAlign w:val="center"/>
            <w:hideMark/>
          </w:tcPr>
          <w:p w14:paraId="533C241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1519</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4540929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1452</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594492B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1431</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36BCFA2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1427</w:t>
            </w:r>
          </w:p>
        </w:tc>
        <w:tc>
          <w:tcPr>
            <w:tcW w:w="1154" w:type="dxa"/>
            <w:tcBorders>
              <w:top w:val="nil"/>
              <w:left w:val="nil"/>
              <w:bottom w:val="nil"/>
              <w:right w:val="nil"/>
            </w:tcBorders>
            <w:shd w:val="clear" w:color="auto" w:fill="auto"/>
            <w:tcMar>
              <w:top w:w="15" w:type="dxa"/>
              <w:left w:w="15" w:type="dxa"/>
              <w:bottom w:w="0" w:type="dxa"/>
              <w:right w:w="15" w:type="dxa"/>
            </w:tcMar>
            <w:vAlign w:val="center"/>
            <w:hideMark/>
          </w:tcPr>
          <w:p w14:paraId="0AD5803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1414</w:t>
            </w:r>
          </w:p>
        </w:tc>
      </w:tr>
      <w:tr w:rsidR="0030685B" w:rsidRPr="00E605D4" w14:paraId="3B45099F" w14:textId="77777777" w:rsidTr="0030685B">
        <w:trPr>
          <w:cantSplit/>
        </w:trPr>
        <w:tc>
          <w:tcPr>
            <w:tcW w:w="1113" w:type="dxa"/>
            <w:vMerge/>
            <w:tcBorders>
              <w:top w:val="single" w:sz="8" w:space="0" w:color="000000"/>
              <w:left w:val="nil"/>
              <w:bottom w:val="single" w:sz="8" w:space="0" w:color="000000"/>
              <w:right w:val="nil"/>
            </w:tcBorders>
            <w:shd w:val="clear" w:color="auto" w:fill="auto"/>
            <w:vAlign w:val="center"/>
            <w:hideMark/>
          </w:tcPr>
          <w:p w14:paraId="09659406"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134" w:type="dxa"/>
            <w:tcBorders>
              <w:top w:val="nil"/>
              <w:left w:val="nil"/>
              <w:bottom w:val="nil"/>
              <w:right w:val="nil"/>
            </w:tcBorders>
            <w:shd w:val="clear" w:color="auto" w:fill="auto"/>
            <w:tcMar>
              <w:top w:w="72" w:type="dxa"/>
              <w:left w:w="144" w:type="dxa"/>
              <w:bottom w:w="72" w:type="dxa"/>
              <w:right w:w="144" w:type="dxa"/>
            </w:tcMar>
            <w:vAlign w:val="center"/>
            <w:hideMark/>
          </w:tcPr>
          <w:p w14:paraId="18EC654D"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c</w:t>
            </w:r>
          </w:p>
        </w:tc>
        <w:tc>
          <w:tcPr>
            <w:tcW w:w="1118" w:type="dxa"/>
            <w:tcBorders>
              <w:top w:val="nil"/>
              <w:left w:val="nil"/>
              <w:bottom w:val="nil"/>
              <w:right w:val="nil"/>
            </w:tcBorders>
            <w:shd w:val="clear" w:color="auto" w:fill="auto"/>
            <w:tcMar>
              <w:top w:w="15" w:type="dxa"/>
              <w:left w:w="15" w:type="dxa"/>
              <w:bottom w:w="0" w:type="dxa"/>
              <w:right w:w="15" w:type="dxa"/>
            </w:tcMar>
            <w:vAlign w:val="center"/>
            <w:hideMark/>
          </w:tcPr>
          <w:p w14:paraId="3FF6FA8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0.422</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00F54EA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0.392</w:t>
            </w:r>
          </w:p>
        </w:tc>
        <w:tc>
          <w:tcPr>
            <w:tcW w:w="1112" w:type="dxa"/>
            <w:tcBorders>
              <w:top w:val="nil"/>
              <w:left w:val="nil"/>
              <w:bottom w:val="nil"/>
              <w:right w:val="nil"/>
            </w:tcBorders>
            <w:shd w:val="clear" w:color="auto" w:fill="auto"/>
            <w:tcMar>
              <w:top w:w="15" w:type="dxa"/>
              <w:left w:w="15" w:type="dxa"/>
              <w:bottom w:w="0" w:type="dxa"/>
              <w:right w:w="15" w:type="dxa"/>
            </w:tcMar>
            <w:vAlign w:val="center"/>
            <w:hideMark/>
          </w:tcPr>
          <w:p w14:paraId="5DD6449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0.414</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00112C7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0.451</w:t>
            </w:r>
          </w:p>
        </w:tc>
        <w:tc>
          <w:tcPr>
            <w:tcW w:w="1154" w:type="dxa"/>
            <w:tcBorders>
              <w:top w:val="nil"/>
              <w:left w:val="nil"/>
              <w:bottom w:val="nil"/>
              <w:right w:val="nil"/>
            </w:tcBorders>
            <w:shd w:val="clear" w:color="auto" w:fill="auto"/>
            <w:tcMar>
              <w:top w:w="15" w:type="dxa"/>
              <w:left w:w="15" w:type="dxa"/>
              <w:bottom w:w="0" w:type="dxa"/>
              <w:right w:w="15" w:type="dxa"/>
            </w:tcMar>
            <w:vAlign w:val="center"/>
            <w:hideMark/>
          </w:tcPr>
          <w:p w14:paraId="2DE4BD7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0.500</w:t>
            </w:r>
          </w:p>
        </w:tc>
      </w:tr>
      <w:tr w:rsidR="0030685B" w:rsidRPr="00E605D4" w14:paraId="7ADE6E01" w14:textId="77777777" w:rsidTr="0030685B">
        <w:trPr>
          <w:cantSplit/>
        </w:trPr>
        <w:tc>
          <w:tcPr>
            <w:tcW w:w="1113" w:type="dxa"/>
            <w:vMerge/>
            <w:tcBorders>
              <w:top w:val="single" w:sz="8" w:space="0" w:color="000000"/>
              <w:left w:val="nil"/>
              <w:bottom w:val="single" w:sz="8" w:space="0" w:color="auto"/>
              <w:right w:val="nil"/>
            </w:tcBorders>
            <w:shd w:val="clear" w:color="auto" w:fill="auto"/>
            <w:vAlign w:val="center"/>
            <w:hideMark/>
          </w:tcPr>
          <w:p w14:paraId="628EF140"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134"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20CA11F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118"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31F47C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4.9%</w:t>
            </w:r>
          </w:p>
        </w:tc>
        <w:tc>
          <w:tcPr>
            <w:tcW w:w="111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210A4F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4.6%</w:t>
            </w:r>
          </w:p>
        </w:tc>
        <w:tc>
          <w:tcPr>
            <w:tcW w:w="111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3952FC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5.0%</w:t>
            </w:r>
          </w:p>
        </w:tc>
        <w:tc>
          <w:tcPr>
            <w:tcW w:w="111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D57084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6.3%</w:t>
            </w:r>
          </w:p>
        </w:tc>
        <w:tc>
          <w:tcPr>
            <w:tcW w:w="115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EE4CECE"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8.7%</w:t>
            </w:r>
          </w:p>
        </w:tc>
      </w:tr>
    </w:tbl>
    <w:p w14:paraId="422F0CE8" w14:textId="77777777" w:rsidR="00257B12" w:rsidRPr="00E605D4" w:rsidRDefault="000676A0" w:rsidP="000676A0">
      <w:pPr>
        <w:pStyle w:val="MDPI41tablecaption"/>
        <w:jc w:val="both"/>
        <w:rPr>
          <w:color w:val="auto"/>
        </w:rPr>
      </w:pPr>
      <w:r w:rsidRPr="00E605D4">
        <w:rPr>
          <w:b/>
          <w:bCs/>
          <w:color w:val="auto"/>
        </w:rPr>
        <w:t xml:space="preserve">Table 2. </w:t>
      </w:r>
      <w:r w:rsidR="00257B12" w:rsidRPr="00E605D4">
        <w:rPr>
          <w:color w:val="auto"/>
        </w:rPr>
        <w:t xml:space="preserve">Calibrated stress-based fracture model parameters for Ti-6Al-4V using data from dense pure shear and </w:t>
      </w:r>
      <w:proofErr w:type="spellStart"/>
      <w:r w:rsidR="00257B12" w:rsidRPr="00E605D4">
        <w:rPr>
          <w:color w:val="auto"/>
        </w:rPr>
        <w:t>equibiaxial</w:t>
      </w:r>
      <w:proofErr w:type="spellEnd"/>
      <w:r w:rsidR="00257B12" w:rsidRPr="00E605D4">
        <w:rPr>
          <w:color w:val="auto"/>
        </w:rPr>
        <w:t xml:space="preserve"> tension tests combined with dense, 300 µm, 600 µm, 1200 µm, and 2400 µm pore round notched tension tests. Error is the mean absolute percentage error for the model predicted values of equivalent stress on the fracture surface compared to the experimental values of equivalent stress across each stress state used in calibration.</w:t>
      </w:r>
    </w:p>
    <w:tbl>
      <w:tblPr>
        <w:tblW w:w="7857" w:type="dxa"/>
        <w:tblInd w:w="2608" w:type="dxa"/>
        <w:tblLayout w:type="fixed"/>
        <w:tblCellMar>
          <w:left w:w="0" w:type="dxa"/>
          <w:right w:w="0" w:type="dxa"/>
        </w:tblCellMar>
        <w:tblLook w:val="0420" w:firstRow="1" w:lastRow="0" w:firstColumn="0" w:lastColumn="0" w:noHBand="0" w:noVBand="1"/>
      </w:tblPr>
      <w:tblGrid>
        <w:gridCol w:w="1115"/>
        <w:gridCol w:w="1132"/>
        <w:gridCol w:w="1115"/>
        <w:gridCol w:w="1115"/>
        <w:gridCol w:w="1115"/>
        <w:gridCol w:w="1115"/>
        <w:gridCol w:w="1150"/>
      </w:tblGrid>
      <w:tr w:rsidR="00690745" w:rsidRPr="00E605D4" w14:paraId="722C6BD5" w14:textId="77777777" w:rsidTr="00690745">
        <w:trPr>
          <w:cantSplit/>
        </w:trPr>
        <w:tc>
          <w:tcPr>
            <w:tcW w:w="2074" w:type="dxa"/>
            <w:gridSpan w:val="2"/>
            <w:vMerge w:val="restart"/>
            <w:tcBorders>
              <w:top w:val="single" w:sz="8" w:space="0" w:color="auto"/>
              <w:left w:val="nil"/>
              <w:bottom w:val="single" w:sz="8" w:space="0" w:color="000000"/>
              <w:right w:val="nil"/>
            </w:tcBorders>
            <w:shd w:val="clear" w:color="auto" w:fill="auto"/>
            <w:tcMar>
              <w:top w:w="72" w:type="dxa"/>
              <w:left w:w="144" w:type="dxa"/>
              <w:bottom w:w="72" w:type="dxa"/>
              <w:right w:w="144" w:type="dxa"/>
            </w:tcMar>
            <w:vAlign w:val="center"/>
            <w:hideMark/>
          </w:tcPr>
          <w:p w14:paraId="220EF387"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r w:rsidRPr="00E605D4">
              <w:rPr>
                <w:rFonts w:eastAsia="Times New Roman"/>
                <w:b/>
                <w:bCs/>
                <w:color w:val="auto"/>
                <w:kern w:val="24"/>
                <w:sz w:val="18"/>
              </w:rPr>
              <w:t>L-PBF Ti-6Al-4V</w:t>
            </w:r>
          </w:p>
        </w:tc>
        <w:tc>
          <w:tcPr>
            <w:tcW w:w="5177" w:type="dxa"/>
            <w:gridSpan w:val="5"/>
            <w:tcBorders>
              <w:top w:val="single" w:sz="8"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2A1545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Pore Diameter (µm)</w:t>
            </w:r>
          </w:p>
        </w:tc>
      </w:tr>
      <w:tr w:rsidR="00690745" w:rsidRPr="00E605D4" w14:paraId="1DF79F98" w14:textId="77777777" w:rsidTr="00690745">
        <w:trPr>
          <w:cantSplit/>
        </w:trPr>
        <w:tc>
          <w:tcPr>
            <w:tcW w:w="2074" w:type="dxa"/>
            <w:gridSpan w:val="2"/>
            <w:vMerge/>
            <w:tcBorders>
              <w:top w:val="single" w:sz="8" w:space="0" w:color="000000"/>
              <w:left w:val="nil"/>
              <w:bottom w:val="single" w:sz="4" w:space="0" w:color="auto"/>
              <w:right w:val="nil"/>
            </w:tcBorders>
            <w:shd w:val="clear" w:color="auto" w:fill="auto"/>
            <w:vAlign w:val="center"/>
            <w:hideMark/>
          </w:tcPr>
          <w:p w14:paraId="2D31C45D"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p>
        </w:tc>
        <w:tc>
          <w:tcPr>
            <w:tcW w:w="102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946F28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Dense</w:t>
            </w:r>
          </w:p>
        </w:tc>
        <w:tc>
          <w:tcPr>
            <w:tcW w:w="102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1D347E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300</w:t>
            </w:r>
          </w:p>
        </w:tc>
        <w:tc>
          <w:tcPr>
            <w:tcW w:w="102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17B97A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600</w:t>
            </w:r>
          </w:p>
        </w:tc>
        <w:tc>
          <w:tcPr>
            <w:tcW w:w="102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D76D1B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1200</w:t>
            </w:r>
          </w:p>
        </w:tc>
        <w:tc>
          <w:tcPr>
            <w:tcW w:w="106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52583BB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2400</w:t>
            </w:r>
          </w:p>
        </w:tc>
      </w:tr>
      <w:tr w:rsidR="00690745" w:rsidRPr="00E605D4" w14:paraId="2962FBE7" w14:textId="77777777" w:rsidTr="00391C21">
        <w:trPr>
          <w:cantSplit/>
          <w:trHeight w:val="841"/>
        </w:trPr>
        <w:tc>
          <w:tcPr>
            <w:tcW w:w="102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textDirection w:val="btLr"/>
            <w:vAlign w:val="center"/>
            <w:hideMark/>
          </w:tcPr>
          <w:p w14:paraId="3FB241F7"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r w:rsidRPr="00690745">
              <w:rPr>
                <w:rFonts w:eastAsia="Times New Roman"/>
                <w:b/>
                <w:bCs/>
                <w:color w:val="auto"/>
                <w:kern w:val="24"/>
                <w:sz w:val="18"/>
                <w:highlight w:val="yellow"/>
              </w:rPr>
              <w:t>Max Stress</w:t>
            </w:r>
          </w:p>
        </w:tc>
        <w:tc>
          <w:tcPr>
            <w:tcW w:w="1045"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4997FF7"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cs="Arial"/>
                        <w:b/>
                        <w:bCs/>
                        <w:i/>
                        <w:iCs/>
                        <w:color w:val="auto"/>
                        <w:kern w:val="24"/>
                        <w:sz w:val="18"/>
                        <w:highlight w:val="yellow"/>
                      </w:rPr>
                    </m:ctrlPr>
                  </m:sSubPr>
                  <m:e>
                    <m:r>
                      <m:rPr>
                        <m:sty m:val="bi"/>
                      </m:rPr>
                      <w:rPr>
                        <w:rFonts w:ascii="Cambria Math" w:eastAsia="Times New Roman" w:hAnsi="Cambria Math" w:cs="Arial"/>
                        <w:color w:val="auto"/>
                        <w:kern w:val="24"/>
                        <w:sz w:val="18"/>
                        <w:highlight w:val="yellow"/>
                        <w:lang w:val="el-GR"/>
                      </w:rPr>
                      <m:t>σ</m:t>
                    </m:r>
                  </m:e>
                  <m:sub>
                    <m:r>
                      <m:rPr>
                        <m:sty m:val="bi"/>
                      </m:rPr>
                      <w:rPr>
                        <w:rFonts w:ascii="Cambria Math" w:eastAsia="Times New Roman" w:hAnsi="Cambria Math" w:cs="Arial"/>
                        <w:color w:val="auto"/>
                        <w:kern w:val="24"/>
                        <w:sz w:val="18"/>
                        <w:highlight w:val="yellow"/>
                      </w:rPr>
                      <m:t>max</m:t>
                    </m:r>
                  </m:sub>
                </m:sSub>
              </m:oMath>
            </m:oMathPara>
          </w:p>
        </w:tc>
        <w:tc>
          <w:tcPr>
            <w:tcW w:w="102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FCEFB6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1817</w:t>
            </w:r>
          </w:p>
        </w:tc>
        <w:tc>
          <w:tcPr>
            <w:tcW w:w="102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28F5BA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 xml:space="preserve">1774.33 </w:t>
            </w:r>
          </w:p>
        </w:tc>
        <w:tc>
          <w:tcPr>
            <w:tcW w:w="102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0BB3F2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1647</w:t>
            </w:r>
          </w:p>
        </w:tc>
        <w:tc>
          <w:tcPr>
            <w:tcW w:w="1029"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A71905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1507</w:t>
            </w:r>
          </w:p>
        </w:tc>
        <w:tc>
          <w:tcPr>
            <w:tcW w:w="1061"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1BAE15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1128</w:t>
            </w:r>
          </w:p>
        </w:tc>
      </w:tr>
      <w:tr w:rsidR="00690745" w:rsidRPr="00E605D4" w14:paraId="68E14D02" w14:textId="77777777" w:rsidTr="00391C21">
        <w:trPr>
          <w:cantSplit/>
        </w:trPr>
        <w:tc>
          <w:tcPr>
            <w:tcW w:w="1029"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5566A329"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Mohr-Coulomb</w:t>
            </w:r>
          </w:p>
        </w:tc>
        <w:tc>
          <w:tcPr>
            <w:tcW w:w="1045"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5D8E385B"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1</m:t>
                    </m:r>
                  </m:sub>
                </m:sSub>
              </m:oMath>
            </m:oMathPara>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414DA7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0.959</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F0D03A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0.956</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1521F5E"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0.760</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68A431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0.675</w:t>
            </w:r>
          </w:p>
        </w:tc>
        <w:tc>
          <w:tcPr>
            <w:tcW w:w="106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13CE9C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0.521</w:t>
            </w:r>
          </w:p>
        </w:tc>
      </w:tr>
      <w:tr w:rsidR="00257B12" w:rsidRPr="00E605D4" w14:paraId="17101BEE" w14:textId="77777777" w:rsidTr="00391C21">
        <w:trPr>
          <w:cantSplit/>
        </w:trPr>
        <w:tc>
          <w:tcPr>
            <w:tcW w:w="1029" w:type="dxa"/>
            <w:vMerge/>
            <w:tcBorders>
              <w:top w:val="single" w:sz="8" w:space="0" w:color="000000"/>
              <w:left w:val="nil"/>
              <w:bottom w:val="single" w:sz="8" w:space="0" w:color="000000"/>
              <w:right w:val="nil"/>
            </w:tcBorders>
            <w:shd w:val="clear" w:color="auto" w:fill="auto"/>
            <w:vAlign w:val="center"/>
            <w:hideMark/>
          </w:tcPr>
          <w:p w14:paraId="26543E2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5" w:type="dxa"/>
            <w:tcBorders>
              <w:top w:val="nil"/>
              <w:left w:val="nil"/>
              <w:bottom w:val="nil"/>
              <w:right w:val="nil"/>
            </w:tcBorders>
            <w:shd w:val="clear" w:color="auto" w:fill="auto"/>
            <w:tcMar>
              <w:top w:w="72" w:type="dxa"/>
              <w:left w:w="144" w:type="dxa"/>
              <w:bottom w:w="72" w:type="dxa"/>
              <w:right w:w="144" w:type="dxa"/>
            </w:tcMar>
            <w:vAlign w:val="center"/>
            <w:hideMark/>
          </w:tcPr>
          <w:p w14:paraId="08E09A96"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2</m:t>
                    </m:r>
                  </m:sub>
                </m:sSub>
              </m:oMath>
            </m:oMathPara>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2B97261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1456</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609DF42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1429</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26ACA9A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1150</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48F44C1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1030</w:t>
            </w:r>
          </w:p>
        </w:tc>
        <w:tc>
          <w:tcPr>
            <w:tcW w:w="1061" w:type="dxa"/>
            <w:tcBorders>
              <w:top w:val="nil"/>
              <w:left w:val="nil"/>
              <w:bottom w:val="nil"/>
              <w:right w:val="nil"/>
            </w:tcBorders>
            <w:shd w:val="clear" w:color="auto" w:fill="auto"/>
            <w:tcMar>
              <w:top w:w="15" w:type="dxa"/>
              <w:left w:w="15" w:type="dxa"/>
              <w:bottom w:w="0" w:type="dxa"/>
              <w:right w:w="15" w:type="dxa"/>
            </w:tcMar>
            <w:vAlign w:val="center"/>
            <w:hideMark/>
          </w:tcPr>
          <w:p w14:paraId="5F172C6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814</w:t>
            </w:r>
          </w:p>
        </w:tc>
      </w:tr>
      <w:tr w:rsidR="00690745" w:rsidRPr="00E605D4" w14:paraId="0AAEDCB8" w14:textId="77777777" w:rsidTr="00391C21">
        <w:trPr>
          <w:cantSplit/>
        </w:trPr>
        <w:tc>
          <w:tcPr>
            <w:tcW w:w="1029" w:type="dxa"/>
            <w:vMerge/>
            <w:tcBorders>
              <w:top w:val="single" w:sz="8" w:space="0" w:color="000000"/>
              <w:left w:val="nil"/>
              <w:bottom w:val="single" w:sz="4" w:space="0" w:color="auto"/>
              <w:right w:val="nil"/>
            </w:tcBorders>
            <w:shd w:val="clear" w:color="auto" w:fill="auto"/>
            <w:vAlign w:val="center"/>
            <w:hideMark/>
          </w:tcPr>
          <w:p w14:paraId="600C3421"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5"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4F38B87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0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E08BAD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13.4%</w:t>
            </w:r>
          </w:p>
        </w:tc>
        <w:tc>
          <w:tcPr>
            <w:tcW w:w="10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FF3AFC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9.9%</w:t>
            </w:r>
          </w:p>
        </w:tc>
        <w:tc>
          <w:tcPr>
            <w:tcW w:w="10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2AA521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7.5%</w:t>
            </w:r>
          </w:p>
        </w:tc>
        <w:tc>
          <w:tcPr>
            <w:tcW w:w="10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B1AE63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4.7%</w:t>
            </w:r>
          </w:p>
        </w:tc>
        <w:tc>
          <w:tcPr>
            <w:tcW w:w="106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1FE7A8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9.6%</w:t>
            </w:r>
          </w:p>
        </w:tc>
      </w:tr>
      <w:tr w:rsidR="00690745" w:rsidRPr="00E605D4" w14:paraId="12FA2845" w14:textId="77777777" w:rsidTr="00391C21">
        <w:trPr>
          <w:cantSplit/>
        </w:trPr>
        <w:tc>
          <w:tcPr>
            <w:tcW w:w="1029"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71562C3F"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Hosford-Coulomb</w:t>
            </w:r>
          </w:p>
        </w:tc>
        <w:tc>
          <w:tcPr>
            <w:tcW w:w="1045"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11EC6FF0"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a</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68F183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1.23</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A9FC6A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0.944</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E94A6A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1.06</w:t>
            </w:r>
          </w:p>
        </w:tc>
        <w:tc>
          <w:tcPr>
            <w:tcW w:w="1029"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7C9E7B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0.862</w:t>
            </w:r>
          </w:p>
        </w:tc>
        <w:tc>
          <w:tcPr>
            <w:tcW w:w="106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7CA9D1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0.438</w:t>
            </w:r>
          </w:p>
        </w:tc>
      </w:tr>
      <w:tr w:rsidR="00257B12" w:rsidRPr="00E605D4" w14:paraId="7F5A3559" w14:textId="77777777" w:rsidTr="000676A0">
        <w:trPr>
          <w:cantSplit/>
        </w:trPr>
        <w:tc>
          <w:tcPr>
            <w:tcW w:w="1029" w:type="dxa"/>
            <w:vMerge/>
            <w:tcBorders>
              <w:top w:val="single" w:sz="8" w:space="0" w:color="000000"/>
              <w:left w:val="nil"/>
              <w:bottom w:val="single" w:sz="8" w:space="0" w:color="000000"/>
              <w:right w:val="nil"/>
            </w:tcBorders>
            <w:shd w:val="clear" w:color="auto" w:fill="auto"/>
            <w:vAlign w:val="center"/>
            <w:hideMark/>
          </w:tcPr>
          <w:p w14:paraId="21E7A487"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5" w:type="dxa"/>
            <w:tcBorders>
              <w:top w:val="nil"/>
              <w:left w:val="nil"/>
              <w:bottom w:val="nil"/>
              <w:right w:val="nil"/>
            </w:tcBorders>
            <w:shd w:val="clear" w:color="auto" w:fill="auto"/>
            <w:tcMar>
              <w:top w:w="72" w:type="dxa"/>
              <w:left w:w="144" w:type="dxa"/>
              <w:bottom w:w="72" w:type="dxa"/>
              <w:right w:w="144" w:type="dxa"/>
            </w:tcMar>
            <w:vAlign w:val="center"/>
            <w:hideMark/>
          </w:tcPr>
          <w:p w14:paraId="4E9F9121"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b</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5A8F80C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1376</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4E4BE0F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1498</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5002C7B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1439</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15B56D3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1557</w:t>
            </w:r>
          </w:p>
        </w:tc>
        <w:tc>
          <w:tcPr>
            <w:tcW w:w="1061" w:type="dxa"/>
            <w:tcBorders>
              <w:top w:val="nil"/>
              <w:left w:val="nil"/>
              <w:bottom w:val="nil"/>
              <w:right w:val="nil"/>
            </w:tcBorders>
            <w:shd w:val="clear" w:color="auto" w:fill="auto"/>
            <w:tcMar>
              <w:top w:w="15" w:type="dxa"/>
              <w:left w:w="15" w:type="dxa"/>
              <w:bottom w:w="0" w:type="dxa"/>
              <w:right w:w="15" w:type="dxa"/>
            </w:tcMar>
            <w:vAlign w:val="center"/>
            <w:hideMark/>
          </w:tcPr>
          <w:p w14:paraId="6C2C6CE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2428</w:t>
            </w:r>
          </w:p>
        </w:tc>
      </w:tr>
      <w:tr w:rsidR="00257B12" w:rsidRPr="00E605D4" w14:paraId="7C38CED3" w14:textId="77777777" w:rsidTr="000676A0">
        <w:trPr>
          <w:cantSplit/>
        </w:trPr>
        <w:tc>
          <w:tcPr>
            <w:tcW w:w="1029" w:type="dxa"/>
            <w:vMerge/>
            <w:tcBorders>
              <w:top w:val="single" w:sz="8" w:space="0" w:color="000000"/>
              <w:left w:val="nil"/>
              <w:bottom w:val="single" w:sz="8" w:space="0" w:color="000000"/>
              <w:right w:val="nil"/>
            </w:tcBorders>
            <w:shd w:val="clear" w:color="auto" w:fill="auto"/>
            <w:vAlign w:val="center"/>
            <w:hideMark/>
          </w:tcPr>
          <w:p w14:paraId="42BDA55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5" w:type="dxa"/>
            <w:tcBorders>
              <w:top w:val="nil"/>
              <w:left w:val="nil"/>
              <w:bottom w:val="nil"/>
              <w:right w:val="nil"/>
            </w:tcBorders>
            <w:shd w:val="clear" w:color="auto" w:fill="auto"/>
            <w:tcMar>
              <w:top w:w="72" w:type="dxa"/>
              <w:left w:w="144" w:type="dxa"/>
              <w:bottom w:w="72" w:type="dxa"/>
              <w:right w:w="144" w:type="dxa"/>
            </w:tcMar>
            <w:vAlign w:val="center"/>
            <w:hideMark/>
          </w:tcPr>
          <w:p w14:paraId="007C1CB9"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c</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3466A83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0.055</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614F487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0.133</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399C4C2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0.133</w:t>
            </w:r>
          </w:p>
        </w:tc>
        <w:tc>
          <w:tcPr>
            <w:tcW w:w="1029" w:type="dxa"/>
            <w:tcBorders>
              <w:top w:val="nil"/>
              <w:left w:val="nil"/>
              <w:bottom w:val="nil"/>
              <w:right w:val="nil"/>
            </w:tcBorders>
            <w:shd w:val="clear" w:color="auto" w:fill="auto"/>
            <w:tcMar>
              <w:top w:w="15" w:type="dxa"/>
              <w:left w:w="15" w:type="dxa"/>
              <w:bottom w:w="0" w:type="dxa"/>
              <w:right w:w="15" w:type="dxa"/>
            </w:tcMar>
            <w:vAlign w:val="center"/>
            <w:hideMark/>
          </w:tcPr>
          <w:p w14:paraId="3C22051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0.230</w:t>
            </w:r>
          </w:p>
        </w:tc>
        <w:tc>
          <w:tcPr>
            <w:tcW w:w="1061" w:type="dxa"/>
            <w:tcBorders>
              <w:top w:val="nil"/>
              <w:left w:val="nil"/>
              <w:bottom w:val="nil"/>
              <w:right w:val="nil"/>
            </w:tcBorders>
            <w:shd w:val="clear" w:color="auto" w:fill="auto"/>
            <w:tcMar>
              <w:top w:w="15" w:type="dxa"/>
              <w:left w:w="15" w:type="dxa"/>
              <w:bottom w:w="0" w:type="dxa"/>
              <w:right w:w="15" w:type="dxa"/>
            </w:tcMar>
            <w:vAlign w:val="center"/>
            <w:hideMark/>
          </w:tcPr>
          <w:p w14:paraId="002A923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1.20</w:t>
            </w:r>
          </w:p>
        </w:tc>
      </w:tr>
      <w:tr w:rsidR="00257B12" w:rsidRPr="00E605D4" w14:paraId="226CC2A5" w14:textId="77777777" w:rsidTr="000676A0">
        <w:trPr>
          <w:cantSplit/>
        </w:trPr>
        <w:tc>
          <w:tcPr>
            <w:tcW w:w="1029" w:type="dxa"/>
            <w:vMerge/>
            <w:tcBorders>
              <w:top w:val="single" w:sz="8" w:space="0" w:color="000000"/>
              <w:left w:val="nil"/>
              <w:bottom w:val="single" w:sz="8" w:space="0" w:color="auto"/>
              <w:right w:val="nil"/>
            </w:tcBorders>
            <w:shd w:val="clear" w:color="auto" w:fill="auto"/>
            <w:vAlign w:val="center"/>
            <w:hideMark/>
          </w:tcPr>
          <w:p w14:paraId="2A637C5A"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5"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45A648C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02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7421FE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w:t>
            </w:r>
          </w:p>
        </w:tc>
        <w:tc>
          <w:tcPr>
            <w:tcW w:w="102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ECFC50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w:t>
            </w:r>
          </w:p>
        </w:tc>
        <w:tc>
          <w:tcPr>
            <w:tcW w:w="102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3C76A8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1.7%</w:t>
            </w:r>
          </w:p>
        </w:tc>
        <w:tc>
          <w:tcPr>
            <w:tcW w:w="1029"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744E789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2.3%</w:t>
            </w:r>
          </w:p>
        </w:tc>
        <w:tc>
          <w:tcPr>
            <w:tcW w:w="1061"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175E20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9.6%</w:t>
            </w:r>
          </w:p>
        </w:tc>
      </w:tr>
    </w:tbl>
    <w:p w14:paraId="4173EBD7" w14:textId="50BE4B55" w:rsidR="00257B12" w:rsidRPr="00E605D4" w:rsidRDefault="00257B12" w:rsidP="00D12BE5">
      <w:pPr>
        <w:pStyle w:val="MDPI31text"/>
        <w:spacing w:before="240" w:after="60"/>
        <w:ind w:left="0" w:firstLine="2606"/>
        <w:rPr>
          <w:color w:val="auto"/>
        </w:rPr>
      </w:pPr>
      <w:r w:rsidRPr="00A9094A">
        <w:rPr>
          <w:color w:val="auto"/>
          <w:highlight w:val="yellow"/>
        </w:rPr>
        <w:t>Mohr-Coulomb failure criterion</w:t>
      </w:r>
    </w:p>
    <w:p w14:paraId="172B696B" w14:textId="7C2EED8E" w:rsidR="00257B12" w:rsidRPr="00690745" w:rsidRDefault="00257B12" w:rsidP="000676A0">
      <w:pPr>
        <w:pStyle w:val="MDPI31text"/>
        <w:rPr>
          <w:color w:val="auto"/>
        </w:rPr>
      </w:pPr>
      <w:r w:rsidRPr="00E605D4">
        <w:rPr>
          <w:color w:val="auto"/>
        </w:rPr>
        <w:t xml:space="preserve">The Mohr-Coulomb (MC) fracture criterion is a classical stress-based criterion that has its origins in describing brittle failure (e.g., rocks and ceramics) </w:t>
      </w:r>
      <w:r w:rsidRPr="00E605D4">
        <w:rPr>
          <w:color w:val="auto"/>
        </w:rPr>
        <w:fldChar w:fldCharType="begin" w:fldLock="1"/>
      </w:r>
      <w:r w:rsidRPr="00E605D4">
        <w:rPr>
          <w:color w:val="auto"/>
        </w:rPr>
        <w:instrText>ADDIN CSL_CITATION {"citationItems":[{"id":"ITEM-1","itemData":{"DOI":"10.1007/s00603-012-0281-7","ISBN":"0060301202817","ISSN":"0723-2632","abstract":"The Mohr–Coulomb (MC) failure criterion is a set of linear equations in principal stress space describing the conditions for which an isotropic material will fail, with any effect from the intermediate principal stress σII being neglected. MC can be written as a function of (1) major σI and minor σIII principal stresses, or (2) normal stress σ and shear stress τ on the failure plane (Jaeger and Cook 1979). When all principal stresses are compressive, experiments demonstrate that the criterion applies reasonably well to rock, where the uniaxial compressive strength C 0 is much greater than the uniaxial tensile strength T, e.g. C 0/T &gt; 10; some modification is needed when tensile stresses act, because the (theoretical) uniaxial tensile strength T 0 predicted from MC is not measured in experiments. The MC criterion can be considered as a contribution from Mohr and Coulomb (Nadai 1950). Mohr’s condition is based on the assumption that failure depends only on σI and σIII, and the shape of the failure envelope, the loci of σ, τ acting on a failure plane, can be linear or nonlinear (Mohr 1900). Coulomb’s condition is based on a linear failure envelope to determine the critical combination of σ, τ that will cause failure on some plane (Coulomb 1776). A linear failure criterion with an intermediate stress effect was described by Paul (1968) and implemented by Meyer and Labuz (2012).","author":[{"dropping-particle":"","family":"Labuz","given":"Joseph F.","non-dropping-particle":"","parse-names":false,"suffix":""},{"dropping-particle":"","family":"Zang","given":"Arno","non-dropping-particle":"","parse-names":false,"suffix":""}],"container-title":"Rock Mechanics and Rock Engineering","id":"ITEM-1","issue":"6","issued":{"date-parts":[["2012"]]},"page":"975-979","title":"Mohr–Coulomb Failure Criterion","type":"article-journal","volume":"45"},"uris":["http://www.mendeley.com/documents/?uuid=52b3cb1c-3359-42e5-ae73-cf36f3ad0cb6","http://www.mendeley.com/documents/?uuid=cd2af5c6-b34b-41ac-96e7-88eb54616205"]}],"mendeley":{"formattedCitation":"[24]","plainTextFormattedCitation":"[24]","previouslyFormattedCitation":"[23]"},"properties":{"noteIndex":0},"schema":"https://github.com/citation-style-language/schema/raw/master/csl-citation.json"}</w:instrText>
      </w:r>
      <w:r w:rsidRPr="00E605D4">
        <w:rPr>
          <w:color w:val="auto"/>
        </w:rPr>
        <w:fldChar w:fldCharType="separate"/>
      </w:r>
      <w:r w:rsidRPr="00E605D4">
        <w:rPr>
          <w:noProof/>
          <w:color w:val="auto"/>
        </w:rPr>
        <w:t>[24]</w:t>
      </w:r>
      <w:r w:rsidRPr="00E605D4">
        <w:rPr>
          <w:color w:val="auto"/>
        </w:rPr>
        <w:fldChar w:fldCharType="end"/>
      </w:r>
      <w:r w:rsidRPr="00E605D4">
        <w:rPr>
          <w:color w:val="auto"/>
        </w:rPr>
        <w:t xml:space="preserve">. The model is phenomenological in that it describes fracture as occurring when a combination of normal </w:t>
      </w:r>
      <w:r w:rsidRPr="00E605D4">
        <w:rPr>
          <w:color w:val="auto"/>
        </w:rPr>
        <w:lastRenderedPageBreak/>
        <w:t>stress (the intermediate principal stress is ignored) and shear stress reach a critical value.</w:t>
      </w:r>
      <w:r w:rsidR="000676A0" w:rsidRPr="00E605D4">
        <w:rPr>
          <w:color w:val="auto"/>
        </w:rPr>
        <w:t xml:space="preserve"> </w:t>
      </w:r>
      <w:r w:rsidRPr="00E605D4">
        <w:rPr>
          <w:color w:val="auto"/>
        </w:rPr>
        <w:t xml:space="preserve">The model in the 3D </w:t>
      </w:r>
      <w:r w:rsidRPr="00690745">
        <w:rPr>
          <w:color w:val="auto"/>
        </w:rPr>
        <w:t>space of (</w:t>
      </w:r>
      <m:oMath>
        <m:r>
          <w:rPr>
            <w:rFonts w:ascii="Cambria Math" w:eastAsia="DengXian" w:hAnsi="Cambria Math"/>
            <w:color w:val="auto"/>
          </w:rPr>
          <m:t>η</m:t>
        </m:r>
      </m:oMath>
      <w:r w:rsidRPr="00690745">
        <w:rPr>
          <w:rFonts w:eastAsia="DengXian"/>
          <w:iCs/>
          <w:color w:val="auto"/>
        </w:rPr>
        <w:t xml:space="preserve">, </w:t>
      </w:r>
      <m:oMath>
        <m:acc>
          <m:accPr>
            <m:chr m:val="̅"/>
            <m:ctrlPr>
              <w:rPr>
                <w:rFonts w:ascii="Cambria Math" w:eastAsia="DengXian" w:hAnsi="Cambria Math"/>
                <w:iCs/>
                <w:color w:val="auto"/>
              </w:rPr>
            </m:ctrlPr>
          </m:accPr>
          <m:e>
            <m:r>
              <w:rPr>
                <w:rFonts w:ascii="Cambria Math" w:eastAsia="DengXian" w:hAnsi="Cambria Math"/>
                <w:color w:val="auto"/>
              </w:rPr>
              <m:t>θ</m:t>
            </m:r>
          </m:e>
        </m:acc>
      </m:oMath>
      <w:r w:rsidRPr="00690745">
        <w:rPr>
          <w:rFonts w:eastAsia="DengXian"/>
          <w:iCs/>
          <w:color w:val="auto"/>
        </w:rPr>
        <w:t xml:space="preserve">,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oMath>
      <w:r w:rsidRPr="00690745">
        <w:rPr>
          <w:rFonts w:eastAsia="DengXian"/>
          <w:color w:val="auto"/>
        </w:rPr>
        <w:t>)</w:t>
      </w:r>
      <w:r w:rsidR="000676A0" w:rsidRPr="00690745">
        <w:rPr>
          <w:rFonts w:eastAsia="DengXian"/>
          <w:color w:val="auto"/>
        </w:rPr>
        <w:t xml:space="preserve"> </w:t>
      </w:r>
      <w:r w:rsidRPr="00690745">
        <w:rPr>
          <w:color w:val="auto"/>
        </w:rPr>
        <w:t xml:space="preserve">was initially presented by Bai et al. </w:t>
      </w:r>
      <w:r w:rsidRPr="00690745">
        <w:rPr>
          <w:color w:val="auto"/>
        </w:rPr>
        <w:fldChar w:fldCharType="begin" w:fldLock="1"/>
      </w:r>
      <w:r w:rsidRPr="00690745">
        <w:rPr>
          <w:color w:val="auto"/>
        </w:rPr>
        <w:instrText>ADDIN CSL_CITATION {"citationItems":[{"id":"ITEM-1","itemData":{"DOI":"10.1007/s10704-009-9422-8","ISBN":"0376-9429","ISSN":"03769429","abstract":"The Mohr-Coulomb (M-C) fracture criterion is revisited with an objective of describing ductile fracture of isotropic crack-free solids. This criterion has been extensively used in rock and soil mechanics as it correctly accounts for the effects of hydrostatic pressure as well as the Lode angle parameter. It turns out that these two parameters, which are critical for characterizing fracture of geo-materials, also control fracture of ductile metals (Bai and Wierzbicki 2008; Xue 2007; Barsoum 2006; Wilkins et al. 1980). The local form of the M-C criterion is transformed/extended to the spherical coordinate system, where the axes are the equivalent strain to fracture (epsilon) over bar (f), the stress triaxiality eta and the normalized Lode angle parameter (theta) over bar. For a proportional loading, the fracture surface is shown to be an asymmetric function of (theta) over bar. A detailed parametric study is performed to demonstrate the effect of model parameters on the fracture locus. It was found that the M-C fracture locus predicts almost exactly the exponential decay of the material ductility with stress triaxiality, which is in accord with theoretical analysis of Rice and Tracey (1969) and the empirical equation of Hancock and Mackenzie (1976), Johnson and Cook (1985). The M-C criterion also predicts a form of Lode angle dependence which is close to parabolic. Test results of two materials, 2024-T351 aluminum alloy and TRIP RA-K40/70 (TRIP690) high strength steel sheets, are used to calibrate and validate the proposed M-C fracture model. Another advantage of the M-C fracture model is that it predicts uniquely the orientation of the fracture surface. It is shown that the direction cosines of the unit normal vector to the fracture surface are functions of the \"friction\" coefficient in the M-C criterion. The phenomenological and physical sound M-C criterion has a great potential to be used as an engineering tool for predicting ductile fracture.","author":[{"dropping-particle":"","family":"Bai","given":"Yuanli","non-dropping-particle":"","parse-names":false,"suffix":""},{"dropping-particle":"","family":"Wierzbicki","given":"Tomasz","non-dropping-particle":"","parse-names":false,"suffix":""}],"container-title":"International Journal of Fracture","id":"ITEM-1","issue":"1","issued":{"date-parts":[["2010"]]},"page":"1-20","title":"Application of extended Mohr-Coulomb criterion to ductile fracture","type":"article-journal","volume":"161"},"uris":["http://www.mendeley.com/documents/?uuid=93f6c1f8-fb22-4e48-93c5-801e2940ab78"]}],"mendeley":{"formattedCitation":"[22]","plainTextFormattedCitation":"[22]","previouslyFormattedCitation":"[21]"},"properties":{"noteIndex":0},"schema":"https://github.com/citation-style-language/schema/raw/master/csl-citation.json"}</w:instrText>
      </w:r>
      <w:r w:rsidRPr="00690745">
        <w:rPr>
          <w:color w:val="auto"/>
        </w:rPr>
        <w:fldChar w:fldCharType="separate"/>
      </w:r>
      <w:r w:rsidRPr="00690745">
        <w:rPr>
          <w:noProof/>
          <w:color w:val="auto"/>
        </w:rPr>
        <w:t>[22]</w:t>
      </w:r>
      <w:r w:rsidRPr="00690745">
        <w:rPr>
          <w:color w:val="auto"/>
        </w:rPr>
        <w:fldChar w:fldCharType="end"/>
      </w:r>
      <w:r w:rsidRPr="00690745">
        <w:rPr>
          <w:color w:val="auto"/>
        </w:rPr>
        <w:t xml:space="preserve"> and is given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556738F8" w14:textId="77777777" w:rsidTr="0017359C">
        <w:trPr>
          <w:trHeight w:val="340"/>
        </w:trPr>
        <w:tc>
          <w:tcPr>
            <w:tcW w:w="7426" w:type="dxa"/>
            <w:shd w:val="clear" w:color="auto" w:fill="auto"/>
            <w:vAlign w:val="center"/>
          </w:tcPr>
          <w:p w14:paraId="7777E29E"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σ</m:t>
                        </m:r>
                      </m:e>
                    </m:acc>
                  </m:e>
                  <m:sub>
                    <m:r>
                      <w:rPr>
                        <w:rFonts w:ascii="Cambria Math" w:eastAsia="DengXian" w:hAnsi="Cambria Math"/>
                        <w:color w:val="auto"/>
                      </w:rPr>
                      <m:t>vM</m:t>
                    </m:r>
                  </m:sub>
                  <m:sup>
                    <m:r>
                      <w:rPr>
                        <w:rFonts w:ascii="Cambria Math" w:eastAsia="DengXian" w:hAnsi="Cambria Math"/>
                        <w:color w:val="auto"/>
                      </w:rPr>
                      <m:t>MC</m:t>
                    </m:r>
                  </m:sup>
                </m:sSubSup>
                <m:r>
                  <m:rPr>
                    <m:sty m:val="p"/>
                  </m:rPr>
                  <w:rPr>
                    <w:rFonts w:ascii="Cambria Math" w:eastAsia="DengXian" w:hAnsi="Cambria Math"/>
                    <w:color w:val="auto"/>
                  </w:rPr>
                  <m:t>[</m:t>
                </m:r>
                <m:r>
                  <w:rPr>
                    <w:rFonts w:ascii="Cambria Math" w:eastAsia="DengXian" w:hAnsi="Cambria Math"/>
                    <w:color w:val="auto"/>
                  </w:rPr>
                  <m:t>η</m:t>
                </m:r>
                <m:r>
                  <m:rPr>
                    <m:sty m:val="p"/>
                  </m:rP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θ</m:t>
                    </m:r>
                  </m:e>
                </m:acc>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c</m:t>
                    </m:r>
                  </m:e>
                  <m:sub>
                    <m:r>
                      <m:rPr>
                        <m:sty m:val="p"/>
                      </m:rPr>
                      <w:rPr>
                        <w:rFonts w:ascii="Cambria Math" w:eastAsia="DengXian" w:hAnsi="Cambria Math"/>
                        <w:color w:val="auto"/>
                      </w:rPr>
                      <m:t>2</m:t>
                    </m:r>
                  </m:sub>
                </m:sSub>
                <m:sSup>
                  <m:sSupPr>
                    <m:ctrlPr>
                      <w:rPr>
                        <w:rFonts w:ascii="Cambria Math" w:eastAsia="DengXian" w:hAnsi="Cambria Math"/>
                        <w:iCs/>
                        <w:color w:val="auto"/>
                      </w:rPr>
                    </m:ctrlPr>
                  </m:sSupPr>
                  <m:e>
                    <m:d>
                      <m:dPr>
                        <m:begChr m:val="["/>
                        <m:endChr m:val="]"/>
                        <m:ctrlPr>
                          <w:rPr>
                            <w:rFonts w:ascii="Cambria Math" w:eastAsia="DengXian" w:hAnsi="Cambria Math"/>
                            <w:iCs/>
                            <w:color w:val="auto"/>
                          </w:rPr>
                        </m:ctrlPr>
                      </m:dPr>
                      <m:e>
                        <m:rad>
                          <m:radPr>
                            <m:degHide m:val="1"/>
                            <m:ctrlPr>
                              <w:rPr>
                                <w:rFonts w:ascii="Cambria Math" w:eastAsia="DengXian" w:hAnsi="Cambria Math"/>
                                <w:iCs/>
                                <w:color w:val="auto"/>
                              </w:rPr>
                            </m:ctrlPr>
                          </m:radPr>
                          <m:deg/>
                          <m:e>
                            <m:f>
                              <m:fPr>
                                <m:ctrlPr>
                                  <w:rPr>
                                    <w:rFonts w:ascii="Cambria Math" w:eastAsia="DengXian" w:hAnsi="Cambria Math"/>
                                    <w:iCs/>
                                    <w:color w:val="auto"/>
                                  </w:rPr>
                                </m:ctrlPr>
                              </m:fPr>
                              <m:num>
                                <m:r>
                                  <m:rPr>
                                    <m:sty m:val="p"/>
                                  </m:rPr>
                                  <w:rPr>
                                    <w:rFonts w:ascii="Cambria Math" w:eastAsia="DengXian" w:hAnsi="Cambria Math"/>
                                    <w:color w:val="auto"/>
                                  </w:rPr>
                                  <m:t>1+</m:t>
                                </m:r>
                                <m:sSubSup>
                                  <m:sSubSupPr>
                                    <m:ctrlPr>
                                      <w:rPr>
                                        <w:rFonts w:ascii="Cambria Math" w:eastAsia="DengXian" w:hAnsi="Cambria Math"/>
                                        <w:iCs/>
                                        <w:color w:val="auto"/>
                                      </w:rPr>
                                    </m:ctrlPr>
                                  </m:sSubSupPr>
                                  <m:e>
                                    <m:r>
                                      <w:rPr>
                                        <w:rFonts w:ascii="Cambria Math" w:eastAsia="DengXian" w:hAnsi="Cambria Math"/>
                                        <w:color w:val="auto"/>
                                      </w:rPr>
                                      <m:t>c</m:t>
                                    </m:r>
                                  </m:e>
                                  <m:sub>
                                    <m:r>
                                      <m:rPr>
                                        <m:sty m:val="p"/>
                                      </m:rPr>
                                      <w:rPr>
                                        <w:rFonts w:ascii="Cambria Math" w:eastAsia="DengXian" w:hAnsi="Cambria Math"/>
                                        <w:color w:val="auto"/>
                                      </w:rPr>
                                      <m:t>1</m:t>
                                    </m:r>
                                  </m:sub>
                                  <m:sup>
                                    <m:r>
                                      <m:rPr>
                                        <m:sty m:val="p"/>
                                      </m:rPr>
                                      <w:rPr>
                                        <w:rFonts w:ascii="Cambria Math" w:eastAsia="DengXian" w:hAnsi="Cambria Math"/>
                                        <w:color w:val="auto"/>
                                      </w:rPr>
                                      <m:t>2</m:t>
                                    </m:r>
                                  </m:sup>
                                </m:sSubSup>
                              </m:num>
                              <m:den>
                                <m:r>
                                  <m:rPr>
                                    <m:sty m:val="p"/>
                                  </m:rPr>
                                  <w:rPr>
                                    <w:rFonts w:ascii="Cambria Math" w:eastAsia="DengXian" w:hAnsi="Cambria Math"/>
                                    <w:color w:val="auto"/>
                                  </w:rPr>
                                  <m:t>3</m:t>
                                </m:r>
                              </m:den>
                            </m:f>
                          </m:e>
                        </m:rad>
                        <m:func>
                          <m:funcPr>
                            <m:ctrlPr>
                              <w:rPr>
                                <w:rFonts w:ascii="Cambria Math" w:eastAsia="DengXian" w:hAnsi="Cambria Math"/>
                                <w:iCs/>
                                <w:color w:val="auto"/>
                              </w:rPr>
                            </m:ctrlPr>
                          </m:funcPr>
                          <m:fName>
                            <m:r>
                              <w:rPr>
                                <w:rFonts w:ascii="Cambria Math" w:eastAsia="DengXian" w:hAnsi="Cambria Math"/>
                                <w:color w:val="auto"/>
                              </w:rPr>
                              <m:t>cos</m:t>
                            </m:r>
                          </m:fName>
                          <m:e>
                            <m:d>
                              <m:dPr>
                                <m:ctrlPr>
                                  <w:rPr>
                                    <w:rFonts w:ascii="Cambria Math" w:eastAsia="DengXian" w:hAnsi="Cambria Math"/>
                                    <w:iCs/>
                                    <w:color w:val="auto"/>
                                  </w:rPr>
                                </m:ctrlPr>
                              </m:dPr>
                              <m:e>
                                <m:f>
                                  <m:fPr>
                                    <m:ctrlPr>
                                      <w:rPr>
                                        <w:rFonts w:ascii="Cambria Math" w:eastAsia="DengXian" w:hAnsi="Cambria Math"/>
                                        <w:iCs/>
                                        <w:color w:val="auto"/>
                                      </w:rPr>
                                    </m:ctrlPr>
                                  </m:fPr>
                                  <m:num>
                                    <m:r>
                                      <w:rPr>
                                        <w:rFonts w:ascii="Cambria Math" w:eastAsia="DengXian" w:hAnsi="Cambria Math"/>
                                        <w:color w:val="auto"/>
                                      </w:rPr>
                                      <m:t>π</m:t>
                                    </m:r>
                                  </m:num>
                                  <m:den>
                                    <m:r>
                                      <m:rPr>
                                        <m:sty m:val="p"/>
                                      </m:rPr>
                                      <w:rPr>
                                        <w:rFonts w:ascii="Cambria Math" w:eastAsia="DengXian" w:hAnsi="Cambria Math"/>
                                        <w:color w:val="auto"/>
                                      </w:rPr>
                                      <m:t>6</m:t>
                                    </m:r>
                                  </m:den>
                                </m:f>
                                <m:r>
                                  <m:rPr>
                                    <m:sty m:val="p"/>
                                  </m:rP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θ</m:t>
                                    </m:r>
                                  </m:e>
                                </m:acc>
                              </m:e>
                            </m:d>
                          </m:e>
                        </m:func>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c</m:t>
                            </m:r>
                          </m:e>
                          <m:sub>
                            <m:r>
                              <m:rPr>
                                <m:sty m:val="p"/>
                              </m:rPr>
                              <w:rPr>
                                <w:rFonts w:ascii="Cambria Math" w:eastAsia="DengXian" w:hAnsi="Cambria Math"/>
                                <w:color w:val="auto"/>
                              </w:rPr>
                              <m:t>1</m:t>
                            </m:r>
                          </m:sub>
                        </m:sSub>
                        <m:d>
                          <m:dPr>
                            <m:ctrlPr>
                              <w:rPr>
                                <w:rFonts w:ascii="Cambria Math" w:eastAsia="DengXian" w:hAnsi="Cambria Math"/>
                                <w:iCs/>
                                <w:color w:val="auto"/>
                              </w:rPr>
                            </m:ctrlPr>
                          </m:dPr>
                          <m:e>
                            <m:r>
                              <w:rPr>
                                <w:rFonts w:ascii="Cambria Math" w:eastAsia="DengXian" w:hAnsi="Cambria Math"/>
                                <w:color w:val="auto"/>
                              </w:rPr>
                              <m:t>η</m:t>
                            </m:r>
                            <m:r>
                              <m:rPr>
                                <m:sty m:val="p"/>
                              </m:rPr>
                              <w:rPr>
                                <w:rFonts w:ascii="Cambria Math" w:eastAsia="DengXian" w:hAnsi="Cambria Math"/>
                                <w:color w:val="auto"/>
                              </w:rPr>
                              <m:t>+</m:t>
                            </m:r>
                            <m:f>
                              <m:fPr>
                                <m:ctrlPr>
                                  <w:rPr>
                                    <w:rFonts w:ascii="Cambria Math" w:eastAsia="DengXian" w:hAnsi="Cambria Math"/>
                                    <w:iCs/>
                                    <w:color w:val="auto"/>
                                  </w:rPr>
                                </m:ctrlPr>
                              </m:fPr>
                              <m:num>
                                <m:r>
                                  <m:rPr>
                                    <m:sty m:val="p"/>
                                  </m:rPr>
                                  <w:rPr>
                                    <w:rFonts w:ascii="Cambria Math" w:eastAsia="DengXian" w:hAnsi="Cambria Math"/>
                                    <w:color w:val="auto"/>
                                  </w:rPr>
                                  <m:t>1</m:t>
                                </m:r>
                              </m:num>
                              <m:den>
                                <m:r>
                                  <m:rPr>
                                    <m:sty m:val="p"/>
                                  </m:rPr>
                                  <w:rPr>
                                    <w:rFonts w:ascii="Cambria Math" w:eastAsia="DengXian" w:hAnsi="Cambria Math"/>
                                    <w:color w:val="auto"/>
                                  </w:rPr>
                                  <m:t>3</m:t>
                                </m:r>
                              </m:den>
                            </m:f>
                            <m:func>
                              <m:funcPr>
                                <m:ctrlPr>
                                  <w:rPr>
                                    <w:rFonts w:ascii="Cambria Math" w:eastAsia="DengXian" w:hAnsi="Cambria Math"/>
                                    <w:iCs/>
                                    <w:color w:val="auto"/>
                                  </w:rPr>
                                </m:ctrlPr>
                              </m:funcPr>
                              <m:fName>
                                <m:r>
                                  <w:rPr>
                                    <w:rFonts w:ascii="Cambria Math" w:eastAsia="DengXian" w:hAnsi="Cambria Math"/>
                                    <w:color w:val="auto"/>
                                  </w:rPr>
                                  <m:t>sin</m:t>
                                </m:r>
                              </m:fName>
                              <m:e>
                                <m:d>
                                  <m:dPr>
                                    <m:ctrlPr>
                                      <w:rPr>
                                        <w:rFonts w:ascii="Cambria Math" w:eastAsia="DengXian" w:hAnsi="Cambria Math"/>
                                        <w:iCs/>
                                        <w:color w:val="auto"/>
                                      </w:rPr>
                                    </m:ctrlPr>
                                  </m:dPr>
                                  <m:e>
                                    <m:f>
                                      <m:fPr>
                                        <m:ctrlPr>
                                          <w:rPr>
                                            <w:rFonts w:ascii="Cambria Math" w:eastAsia="DengXian" w:hAnsi="Cambria Math"/>
                                            <w:iCs/>
                                            <w:color w:val="auto"/>
                                          </w:rPr>
                                        </m:ctrlPr>
                                      </m:fPr>
                                      <m:num>
                                        <m:r>
                                          <w:rPr>
                                            <w:rFonts w:ascii="Cambria Math" w:eastAsia="DengXian" w:hAnsi="Cambria Math"/>
                                            <w:color w:val="auto"/>
                                          </w:rPr>
                                          <m:t>π</m:t>
                                        </m:r>
                                      </m:num>
                                      <m:den>
                                        <m:r>
                                          <m:rPr>
                                            <m:sty m:val="p"/>
                                          </m:rPr>
                                          <w:rPr>
                                            <w:rFonts w:ascii="Cambria Math" w:eastAsia="DengXian" w:hAnsi="Cambria Math"/>
                                            <w:color w:val="auto"/>
                                          </w:rPr>
                                          <m:t>6</m:t>
                                        </m:r>
                                      </m:den>
                                    </m:f>
                                    <m:r>
                                      <m:rPr>
                                        <m:sty m:val="p"/>
                                      </m:rP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θ</m:t>
                                        </m:r>
                                      </m:e>
                                    </m:acc>
                                  </m:e>
                                </m:d>
                              </m:e>
                            </m:func>
                          </m:e>
                        </m:d>
                      </m:e>
                    </m:d>
                  </m:e>
                  <m:sup>
                    <m:r>
                      <m:rPr>
                        <m:sty m:val="p"/>
                      </m:rPr>
                      <w:rPr>
                        <w:rFonts w:ascii="Cambria Math" w:eastAsia="DengXian" w:hAnsi="Cambria Math"/>
                        <w:color w:val="auto"/>
                      </w:rPr>
                      <m:t>-1</m:t>
                    </m:r>
                  </m:sup>
                </m:sSup>
              </m:oMath>
            </m:oMathPara>
          </w:p>
        </w:tc>
        <w:tc>
          <w:tcPr>
            <w:tcW w:w="430" w:type="dxa"/>
            <w:shd w:val="clear" w:color="auto" w:fill="auto"/>
            <w:vAlign w:val="center"/>
          </w:tcPr>
          <w:p w14:paraId="4D3DC2CE" w14:textId="1C1931B8"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6</w:t>
            </w:r>
            <w:r w:rsidRPr="00690745">
              <w:rPr>
                <w:rFonts w:eastAsia="DengXian"/>
                <w:iCs/>
                <w:color w:val="auto"/>
              </w:rPr>
              <w:fldChar w:fldCharType="end"/>
            </w:r>
            <w:r w:rsidRPr="00690745">
              <w:rPr>
                <w:rFonts w:eastAsia="DengXian"/>
                <w:iCs/>
                <w:color w:val="auto"/>
              </w:rPr>
              <w:t>)</w:t>
            </w:r>
          </w:p>
        </w:tc>
      </w:tr>
    </w:tbl>
    <w:p w14:paraId="74015DA7" w14:textId="70984542" w:rsidR="00257B12" w:rsidRPr="00E605D4" w:rsidRDefault="00257B12" w:rsidP="000676A0">
      <w:pPr>
        <w:pStyle w:val="MDPI32textnoindent"/>
        <w:rPr>
          <w:color w:val="auto"/>
        </w:rPr>
      </w:pPr>
      <w:r w:rsidRPr="00690745">
        <w:rPr>
          <w:color w:val="auto"/>
        </w:rPr>
        <w:t xml:space="preserve">where </w:t>
      </w:r>
      <m:oMath>
        <m:sSub>
          <m:sSubPr>
            <m:ctrlPr>
              <w:rPr>
                <w:rFonts w:ascii="Cambria Math" w:eastAsia="DengXian" w:hAnsi="Cambria Math"/>
                <w:color w:val="auto"/>
              </w:rPr>
            </m:ctrlPr>
          </m:sSubPr>
          <m:e>
            <m:r>
              <w:rPr>
                <w:rFonts w:ascii="Cambria Math" w:eastAsia="DengXian" w:hAnsi="Cambria Math"/>
                <w:color w:val="auto"/>
              </w:rPr>
              <m:t>c</m:t>
            </m:r>
          </m:e>
          <m:sub>
            <m:r>
              <m:rPr>
                <m:sty m:val="p"/>
              </m:rPr>
              <w:rPr>
                <w:rFonts w:ascii="Cambria Math" w:eastAsia="DengXian" w:hAnsi="Cambria Math"/>
                <w:color w:val="auto"/>
              </w:rPr>
              <m:t>1</m:t>
            </m:r>
          </m:sub>
        </m:sSub>
      </m:oMath>
      <w:r w:rsidRPr="00690745">
        <w:rPr>
          <w:rFonts w:eastAsia="DengXian"/>
          <w:color w:val="auto"/>
        </w:rPr>
        <w:t xml:space="preserve"> (friction coefficient) and </w:t>
      </w:r>
      <m:oMath>
        <m:sSub>
          <m:sSubPr>
            <m:ctrlPr>
              <w:rPr>
                <w:rFonts w:ascii="Cambria Math" w:eastAsia="DengXian" w:hAnsi="Cambria Math"/>
                <w:color w:val="auto"/>
              </w:rPr>
            </m:ctrlPr>
          </m:sSubPr>
          <m:e>
            <m:r>
              <w:rPr>
                <w:rFonts w:ascii="Cambria Math" w:eastAsia="DengXian" w:hAnsi="Cambria Math"/>
                <w:color w:val="auto"/>
              </w:rPr>
              <m:t>c</m:t>
            </m:r>
          </m:e>
          <m:sub>
            <m:r>
              <m:rPr>
                <m:sty m:val="p"/>
              </m:rPr>
              <w:rPr>
                <w:rFonts w:ascii="Cambria Math" w:eastAsia="DengXian" w:hAnsi="Cambria Math"/>
                <w:color w:val="auto"/>
              </w:rPr>
              <m:t>2</m:t>
            </m:r>
          </m:sub>
        </m:sSub>
      </m:oMath>
      <w:r w:rsidRPr="00E605D4">
        <w:rPr>
          <w:rFonts w:eastAsia="DengXian"/>
          <w:color w:val="auto"/>
        </w:rPr>
        <w:t xml:space="preserve"> (shear resistance) are model parameters that are calibrated. The ranges of the model parameters are </w:t>
      </w:r>
      <m:oMath>
        <m:sSub>
          <m:sSubPr>
            <m:ctrlPr>
              <w:rPr>
                <w:rFonts w:ascii="Cambria Math" w:eastAsia="DengXian" w:hAnsi="Cambria Math"/>
                <w:color w:val="auto"/>
              </w:rPr>
            </m:ctrlPr>
          </m:sSubPr>
          <m:e>
            <m:r>
              <w:rPr>
                <w:rFonts w:ascii="Cambria Math" w:eastAsia="DengXian" w:hAnsi="Cambria Math"/>
                <w:color w:val="auto"/>
              </w:rPr>
              <m:t>c</m:t>
            </m:r>
          </m:e>
          <m:sub>
            <m:r>
              <m:rPr>
                <m:sty m:val="p"/>
              </m:rPr>
              <w:rPr>
                <w:rFonts w:ascii="Cambria Math" w:eastAsia="DengXian" w:hAnsi="Cambria Math"/>
                <w:color w:val="auto"/>
              </w:rPr>
              <m:t>1</m:t>
            </m:r>
          </m:sub>
        </m:sSub>
        <m:r>
          <w:rPr>
            <w:rFonts w:ascii="Cambria Math" w:eastAsia="DengXian" w:hAnsi="Cambria Math"/>
            <w:color w:val="auto"/>
          </w:rPr>
          <m:t>≥0</m:t>
        </m:r>
      </m:oMath>
      <w:r w:rsidRPr="00E605D4">
        <w:rPr>
          <w:rFonts w:eastAsia="DengXian"/>
          <w:color w:val="auto"/>
        </w:rPr>
        <w:t xml:space="preserve"> and </w:t>
      </w:r>
      <m:oMath>
        <m:sSub>
          <m:sSubPr>
            <m:ctrlPr>
              <w:rPr>
                <w:rFonts w:ascii="Cambria Math" w:eastAsia="DengXian" w:hAnsi="Cambria Math"/>
                <w:color w:val="auto"/>
              </w:rPr>
            </m:ctrlPr>
          </m:sSubPr>
          <m:e>
            <m:r>
              <w:rPr>
                <w:rFonts w:ascii="Cambria Math" w:eastAsia="DengXian" w:hAnsi="Cambria Math"/>
                <w:color w:val="auto"/>
              </w:rPr>
              <m:t>c</m:t>
            </m:r>
          </m:e>
          <m:sub>
            <m:r>
              <m:rPr>
                <m:sty m:val="p"/>
              </m:rPr>
              <w:rPr>
                <w:rFonts w:ascii="Cambria Math" w:eastAsia="DengXian" w:hAnsi="Cambria Math"/>
                <w:color w:val="auto"/>
              </w:rPr>
              <m:t>2</m:t>
            </m:r>
          </m:sub>
        </m:sSub>
        <m:r>
          <w:rPr>
            <w:rFonts w:ascii="Cambria Math" w:eastAsia="DengXian" w:hAnsi="Cambria Math"/>
            <w:color w:val="auto"/>
          </w:rPr>
          <m:t xml:space="preserve"> &gt;0</m:t>
        </m:r>
      </m:oMath>
      <w:r w:rsidRPr="00E605D4">
        <w:rPr>
          <w:rFonts w:eastAsia="DengXian"/>
          <w:color w:val="auto"/>
        </w:rPr>
        <w:t xml:space="preserve">. The optimized model parameters for the dense material and the different pores sizes were determined using a </w:t>
      </w:r>
      <w:proofErr w:type="spellStart"/>
      <w:r w:rsidRPr="00E605D4">
        <w:rPr>
          <w:rFonts w:eastAsia="DengXian"/>
          <w:color w:val="auto"/>
        </w:rPr>
        <w:t>Matlab</w:t>
      </w:r>
      <w:proofErr w:type="spellEnd"/>
      <w:r w:rsidRPr="00E605D4">
        <w:rPr>
          <w:rFonts w:eastAsia="DengXian"/>
          <w:color w:val="auto"/>
        </w:rPr>
        <w:t xml:space="preserve"> function (</w:t>
      </w:r>
      <w:proofErr w:type="spellStart"/>
      <w:r w:rsidRPr="00E605D4">
        <w:rPr>
          <w:rFonts w:eastAsia="DengXian"/>
          <w:color w:val="auto"/>
        </w:rPr>
        <w:t>fmincon</w:t>
      </w:r>
      <w:proofErr w:type="spellEnd"/>
      <w:r w:rsidRPr="00E605D4">
        <w:rPr>
          <w:rFonts w:eastAsia="DengXian"/>
          <w:color w:val="auto"/>
        </w:rPr>
        <w:t>)</w:t>
      </w:r>
      <w:r w:rsidR="00260368">
        <w:rPr>
          <w:rFonts w:eastAsia="DengXian"/>
          <w:color w:val="auto"/>
        </w:rPr>
        <w:t xml:space="preserve"> (</w:t>
      </w:r>
      <w:r w:rsidR="007E6286">
        <w:rPr>
          <w:rFonts w:eastAsia="DengXian"/>
          <w:color w:val="auto"/>
          <w:highlight w:val="yellow"/>
        </w:rPr>
        <w:t>R2021a</w:t>
      </w:r>
      <w:r w:rsidR="00260368" w:rsidRPr="00260368">
        <w:rPr>
          <w:rFonts w:eastAsia="DengXian"/>
          <w:color w:val="auto"/>
          <w:highlight w:val="yellow"/>
        </w:rPr>
        <w:t xml:space="preserve">, </w:t>
      </w:r>
      <w:r w:rsidR="007E6286">
        <w:rPr>
          <w:rFonts w:eastAsia="DengXian"/>
          <w:color w:val="auto"/>
          <w:highlight w:val="yellow"/>
        </w:rPr>
        <w:t>2021</w:t>
      </w:r>
      <w:r w:rsidR="00260368" w:rsidRPr="00260368">
        <w:rPr>
          <w:rFonts w:eastAsia="DengXian"/>
          <w:color w:val="auto"/>
          <w:highlight w:val="yellow"/>
        </w:rPr>
        <w:t xml:space="preserve">, </w:t>
      </w:r>
      <w:proofErr w:type="spellStart"/>
      <w:r w:rsidR="00BD22B2">
        <w:rPr>
          <w:rFonts w:eastAsia="DengXian"/>
          <w:color w:val="auto"/>
          <w:highlight w:val="yellow"/>
        </w:rPr>
        <w:t>Mathworks</w:t>
      </w:r>
      <w:proofErr w:type="spellEnd"/>
      <w:r w:rsidR="00260368" w:rsidRPr="00260368">
        <w:rPr>
          <w:rFonts w:eastAsia="DengXian"/>
          <w:color w:val="auto"/>
          <w:highlight w:val="yellow"/>
        </w:rPr>
        <w:t xml:space="preserve">, </w:t>
      </w:r>
      <w:r w:rsidR="00BD22B2">
        <w:rPr>
          <w:rFonts w:eastAsia="DengXian"/>
          <w:color w:val="auto"/>
          <w:highlight w:val="yellow"/>
        </w:rPr>
        <w:t>Natick, MA</w:t>
      </w:r>
      <w:r w:rsidR="00260368" w:rsidRPr="00260368">
        <w:rPr>
          <w:rFonts w:eastAsia="DengXian"/>
          <w:color w:val="auto"/>
          <w:highlight w:val="yellow"/>
        </w:rPr>
        <w:t xml:space="preserve">, </w:t>
      </w:r>
      <w:r w:rsidR="00BD22B2">
        <w:rPr>
          <w:rFonts w:eastAsia="DengXian"/>
          <w:color w:val="auto"/>
        </w:rPr>
        <w:t>USA</w:t>
      </w:r>
      <w:r w:rsidR="00260368">
        <w:rPr>
          <w:rFonts w:eastAsia="DengXian"/>
          <w:color w:val="auto"/>
        </w:rPr>
        <w:t>)</w:t>
      </w:r>
      <w:r w:rsidRPr="00E605D4">
        <w:rPr>
          <w:rFonts w:eastAsia="DengXian"/>
          <w:color w:val="auto"/>
        </w:rPr>
        <w:t xml:space="preserve"> that finds the minimum of a constrained nonlinear multivariable function; in the current study, this function probed fracture model parameters in a defined range and calculated the mean absolute percentage error (MAPE) between the predicted equivalent stress on the fracture surface for each evaluated parameter set and the fixed combined experimental/simulation scatter data at the same (</w:t>
      </w:r>
      <m:oMath>
        <m:r>
          <w:rPr>
            <w:rFonts w:ascii="Cambria Math" w:eastAsia="DengXian" w:hAnsi="Cambria Math"/>
            <w:color w:val="auto"/>
          </w:rPr>
          <m:t>η</m:t>
        </m:r>
      </m:oMath>
      <w:r w:rsidRPr="00E605D4">
        <w:rPr>
          <w:rFonts w:eastAsia="DengXian"/>
          <w:iCs/>
          <w:color w:val="auto"/>
        </w:rPr>
        <w:t xml:space="preserve">, </w:t>
      </w:r>
      <m:oMath>
        <m:acc>
          <m:accPr>
            <m:chr m:val="̅"/>
            <m:ctrlPr>
              <w:rPr>
                <w:rFonts w:ascii="Cambria Math" w:eastAsia="DengXian" w:hAnsi="Cambria Math"/>
                <w:iCs/>
                <w:color w:val="auto"/>
              </w:rPr>
            </m:ctrlPr>
          </m:accPr>
          <m:e>
            <m:r>
              <w:rPr>
                <w:rFonts w:ascii="Cambria Math" w:eastAsia="DengXian" w:hAnsi="Cambria Math"/>
                <w:color w:val="auto"/>
              </w:rPr>
              <m:t>θ</m:t>
            </m:r>
          </m:e>
        </m:acc>
      </m:oMath>
      <w:r w:rsidRPr="00E605D4">
        <w:rPr>
          <w:rFonts w:eastAsia="DengXian"/>
          <w:iCs/>
          <w:color w:val="auto"/>
        </w:rPr>
        <w:t xml:space="preserve">) coordinates. </w:t>
      </w:r>
      <w:r w:rsidRPr="00E605D4">
        <w:rPr>
          <w:rFonts w:eastAsia="DengXian"/>
          <w:color w:val="auto"/>
        </w:rPr>
        <w:t>The optimized parameter sets for each pore size are shown in Tables 1 and 2.</w:t>
      </w:r>
    </w:p>
    <w:p w14:paraId="7372CE85" w14:textId="77777777" w:rsidR="00257B12" w:rsidRPr="00391C21" w:rsidRDefault="00257B12">
      <w:pPr>
        <w:pStyle w:val="MDPI31text"/>
        <w:spacing w:before="240" w:after="60"/>
        <w:ind w:left="0" w:firstLine="2606"/>
        <w:rPr>
          <w:color w:val="auto"/>
          <w:highlight w:val="yellow"/>
        </w:rPr>
        <w:pPrChange w:id="9" w:author="Beese, Allison Michelle" w:date="2021-06-29T08:31:00Z">
          <w:pPr>
            <w:pStyle w:val="MDPI31text"/>
          </w:pPr>
        </w:pPrChange>
      </w:pPr>
      <w:r w:rsidRPr="00391C21">
        <w:rPr>
          <w:color w:val="auto"/>
          <w:highlight w:val="yellow"/>
        </w:rPr>
        <w:t>Hosford-Coulomb failure criterion</w:t>
      </w:r>
    </w:p>
    <w:p w14:paraId="1669B217" w14:textId="7F2CD022" w:rsidR="00257B12" w:rsidRPr="00690745" w:rsidRDefault="00257B12" w:rsidP="000676A0">
      <w:pPr>
        <w:pStyle w:val="MDPI31text"/>
        <w:rPr>
          <w:rFonts w:eastAsia="DengXian"/>
          <w:color w:val="auto"/>
        </w:rPr>
      </w:pPr>
      <w:r w:rsidRPr="00E605D4">
        <w:rPr>
          <w:rFonts w:eastAsia="DengXian"/>
          <w:color w:val="auto"/>
        </w:rPr>
        <w:t>The Hosford-</w:t>
      </w:r>
      <w:r w:rsidRPr="00690745">
        <w:rPr>
          <w:rFonts w:eastAsia="DengXian"/>
          <w:color w:val="auto"/>
        </w:rPr>
        <w:t xml:space="preserve">Coulomb (HC) model is a stress-based failure criterion that describes failure in terms of a material’s deviatoric strength, as originally postulated by Coulomb in 1776 </w:t>
      </w:r>
      <w:r w:rsidRPr="00690745">
        <w:rPr>
          <w:rFonts w:eastAsia="DengXian"/>
          <w:color w:val="auto"/>
        </w:rPr>
        <w:fldChar w:fldCharType="begin" w:fldLock="1"/>
      </w:r>
      <w:r w:rsidRPr="00690745">
        <w:rPr>
          <w:rFonts w:eastAsia="DengXian"/>
          <w:color w:val="auto"/>
        </w:rPr>
        <w:instrText>ADDIN CSL_CITATION {"citationItems":[{"id":"ITEM-1","itemData":{"author":[{"dropping-particle":"","family":"Coulomb","given":"CA","non-dropping-particle":"","parse-names":false,"suffix":""}],"container-title":"Mem. Acad. Roy. Div. Sav.","id":"ITEM-1","issued":{"date-parts":[["1776"]]},"page":"343-387","title":"Essai sur une application des règles des maximis et minimis à quelques problèmes de statique relatifs à l’architecture","type":"article-journal","volume":"7"},"uris":["http://www.mendeley.com/documents/?uuid=ec8e6627-f156-4489-a491-7ef42ad22582"]}],"mendeley":{"formattedCitation":"[25]","plainTextFormattedCitation":"[25]","previouslyFormattedCitation":"[24]"},"properties":{"noteIndex":0},"schema":"https://github.com/citation-style-language/schema/raw/master/csl-citation.json"}</w:instrText>
      </w:r>
      <w:r w:rsidRPr="00690745">
        <w:rPr>
          <w:rFonts w:eastAsia="DengXian"/>
          <w:color w:val="auto"/>
        </w:rPr>
        <w:fldChar w:fldCharType="separate"/>
      </w:r>
      <w:r w:rsidRPr="00690745">
        <w:rPr>
          <w:rFonts w:eastAsia="DengXian"/>
          <w:noProof/>
          <w:color w:val="auto"/>
        </w:rPr>
        <w:t>[25]</w:t>
      </w:r>
      <w:r w:rsidRPr="00690745">
        <w:rPr>
          <w:rFonts w:eastAsia="DengXian"/>
          <w:color w:val="auto"/>
        </w:rPr>
        <w:fldChar w:fldCharType="end"/>
      </w:r>
      <w:r w:rsidRPr="00690745">
        <w:rPr>
          <w:rFonts w:eastAsia="DengXian"/>
          <w:color w:val="auto"/>
        </w:rPr>
        <w:t>.</w:t>
      </w:r>
      <w:r w:rsidR="000676A0" w:rsidRPr="00690745">
        <w:rPr>
          <w:rFonts w:eastAsia="DengXian"/>
          <w:color w:val="auto"/>
        </w:rPr>
        <w:t xml:space="preserve"> </w:t>
      </w:r>
      <w:r w:rsidRPr="00690745">
        <w:rPr>
          <w:rFonts w:eastAsia="DengXian"/>
          <w:color w:val="auto"/>
        </w:rPr>
        <w:t xml:space="preserve">Unlike the MC model, the HC model considers the contribution from the intermediate principal stress by replacing the maximum shear stress contribution in the MC model with the Hosford equivalent stress </w:t>
      </w:r>
      <w:r w:rsidRPr="00690745">
        <w:rPr>
          <w:rFonts w:eastAsia="DengXian"/>
          <w:color w:val="auto"/>
        </w:rPr>
        <w:fldChar w:fldCharType="begin" w:fldLock="1"/>
      </w:r>
      <w:r w:rsidRPr="00690745">
        <w:rPr>
          <w:rFonts w:eastAsia="DengXian"/>
          <w:color w:val="auto"/>
        </w:rPr>
        <w:instrText>ADDIN CSL_CITATION {"citationItems":[{"id":"ITEM-1","itemData":{"author":[{"dropping-particle":"","family":"Hosford","given":"William F.","non-dropping-particle":"","parse-names":false,"suffix":""}],"container-title":"Journal of Applied Mechanics","id":"ITEM-1","issued":{"date-parts":[["1972"]]},"page":"607-609","title":"A Generalized Isotropic Yield Criterion","type":"article-journal"},"uris":["http://www.mendeley.com/documents/?uuid=0f15d16f-dcbd-411c-a102-6f59e98761e4","http://www.mendeley.com/documents/?uuid=21540711-a260-4338-af61-c15c317b1375"]}],"mendeley":{"formattedCitation":"[26]","plainTextFormattedCitation":"[26]","previouslyFormattedCitation":"[25]"},"properties":{"noteIndex":0},"schema":"https://github.com/citation-style-language/schema/raw/master/csl-citation.json"}</w:instrText>
      </w:r>
      <w:r w:rsidRPr="00690745">
        <w:rPr>
          <w:rFonts w:eastAsia="DengXian"/>
          <w:color w:val="auto"/>
        </w:rPr>
        <w:fldChar w:fldCharType="separate"/>
      </w:r>
      <w:r w:rsidRPr="00690745">
        <w:rPr>
          <w:rFonts w:eastAsia="DengXian"/>
          <w:noProof/>
          <w:color w:val="auto"/>
        </w:rPr>
        <w:t>[26]</w:t>
      </w:r>
      <w:r w:rsidRPr="00690745">
        <w:rPr>
          <w:rFonts w:eastAsia="DengXian"/>
          <w:color w:val="auto"/>
        </w:rPr>
        <w:fldChar w:fldCharType="end"/>
      </w:r>
      <w:r w:rsidRPr="00690745">
        <w:rPr>
          <w:rFonts w:eastAsia="DengXian"/>
          <w:color w:val="auto"/>
        </w:rPr>
        <w:t xml:space="preserve">. </w:t>
      </w:r>
      <w:r w:rsidRPr="00690745">
        <w:rPr>
          <w:color w:val="auto"/>
        </w:rPr>
        <w:t>The model in the 3D space of (</w:t>
      </w:r>
      <m:oMath>
        <m:r>
          <w:rPr>
            <w:rFonts w:ascii="Cambria Math" w:eastAsia="DengXian" w:hAnsi="Cambria Math"/>
            <w:color w:val="auto"/>
          </w:rPr>
          <m:t>η</m:t>
        </m:r>
      </m:oMath>
      <w:r w:rsidRPr="00690745">
        <w:rPr>
          <w:rFonts w:eastAsia="DengXian"/>
          <w:iCs/>
          <w:color w:val="auto"/>
        </w:rPr>
        <w:t xml:space="preserve">, </w:t>
      </w:r>
      <m:oMath>
        <m:acc>
          <m:accPr>
            <m:chr m:val="̅"/>
            <m:ctrlPr>
              <w:rPr>
                <w:rFonts w:ascii="Cambria Math" w:eastAsia="DengXian" w:hAnsi="Cambria Math"/>
                <w:iCs/>
                <w:color w:val="auto"/>
              </w:rPr>
            </m:ctrlPr>
          </m:accPr>
          <m:e>
            <m:r>
              <w:rPr>
                <w:rFonts w:ascii="Cambria Math" w:eastAsia="DengXian" w:hAnsi="Cambria Math"/>
                <w:color w:val="auto"/>
              </w:rPr>
              <m:t>θ</m:t>
            </m:r>
          </m:e>
        </m:acc>
      </m:oMath>
      <w:r w:rsidRPr="00690745">
        <w:rPr>
          <w:rFonts w:eastAsia="DengXian"/>
          <w:iCs/>
          <w:color w:val="auto"/>
        </w:rPr>
        <w:t xml:space="preserve">, </w:t>
      </w:r>
      <m:oMath>
        <m:sSub>
          <m:sSubPr>
            <m:ctrlPr>
              <w:rPr>
                <w:rFonts w:ascii="Cambria Math" w:hAnsi="Cambria Math"/>
                <w:i/>
                <w:color w:val="auto"/>
              </w:rPr>
            </m:ctrlPr>
          </m:sSubPr>
          <m:e>
            <m:acc>
              <m:accPr>
                <m:chr m:val="̅"/>
                <m:ctrlPr>
                  <w:rPr>
                    <w:rFonts w:ascii="Cambria Math" w:hAnsi="Cambria Math"/>
                    <w:i/>
                    <w:color w:val="auto"/>
                  </w:rPr>
                </m:ctrlPr>
              </m:accPr>
              <m:e>
                <m:r>
                  <w:rPr>
                    <w:rFonts w:ascii="Cambria Math" w:hAnsi="Cambria Math"/>
                    <w:color w:val="auto"/>
                  </w:rPr>
                  <m:t>σ</m:t>
                </m:r>
              </m:e>
            </m:acc>
          </m:e>
          <m:sub>
            <m:r>
              <w:rPr>
                <w:rFonts w:ascii="Cambria Math" w:hAnsi="Cambria Math"/>
                <w:color w:val="auto"/>
              </w:rPr>
              <m:t>VM</m:t>
            </m:r>
          </m:sub>
        </m:sSub>
      </m:oMath>
      <w:r w:rsidRPr="00690745">
        <w:rPr>
          <w:rFonts w:eastAsia="DengXian"/>
          <w:color w:val="auto"/>
        </w:rPr>
        <w:t>)</w:t>
      </w:r>
      <w:r w:rsidR="000676A0" w:rsidRPr="00690745">
        <w:rPr>
          <w:rFonts w:eastAsia="DengXian"/>
          <w:color w:val="auto"/>
        </w:rPr>
        <w:t xml:space="preserve"> </w:t>
      </w:r>
      <w:r w:rsidRPr="00690745">
        <w:rPr>
          <w:color w:val="auto"/>
        </w:rPr>
        <w:t xml:space="preserve">was initially presented by Mohr and </w:t>
      </w:r>
      <w:proofErr w:type="spellStart"/>
      <w:r w:rsidRPr="00690745">
        <w:rPr>
          <w:color w:val="auto"/>
        </w:rPr>
        <w:t>Marcadet</w:t>
      </w:r>
      <w:proofErr w:type="spellEnd"/>
      <w:r w:rsidRPr="00690745">
        <w:rPr>
          <w:color w:val="auto"/>
        </w:rPr>
        <w:t xml:space="preserve"> </w:t>
      </w:r>
      <w:r w:rsidRPr="00690745">
        <w:rPr>
          <w:rFonts w:eastAsia="DengXian"/>
          <w:color w:val="auto"/>
        </w:rPr>
        <w:fldChar w:fldCharType="begin" w:fldLock="1"/>
      </w:r>
      <w:r w:rsidRPr="00690745">
        <w:rPr>
          <w:rFonts w:eastAsia="DengXian"/>
          <w:color w:val="auto"/>
        </w:rPr>
        <w:instrText>ADDIN CSL_CITATION {"citationItems":[{"id":"ITEM-1","itemData":{"DOI":"10.1016/j.ijsolstr.2015.02.024","ISBN":"0020-7683","ISSN":"00207683","abstract":"A phenomenological ductile fracture initiation model for metals is developed for predicting ductile fracture in industrial practice. Its formulation is based on the assumption that the onset of fracture is imminent with the formation of a primary or secondary band of localization. The results from a unit cell analysis on a Levy-von Mises material with spherical defects revealed that a Mohr-Coulomb type of model is suitable for predicting the onset of shear and normal localization. To improve the agreement of the model predictions with experimental results, an extended Mohr-Coulomb criterion is proposed which makes use of the Hosford equivalent stress in combination with the normal stress acting on the plane of maximum shear. A fracture initiation model is obtained by transforming the localization criterion from stress space to the space of equivalent plastic strain, stress triaxiality and Lode angle parameter using the material's isotropic hardening law. Experimental results are presented for three different advanced high strength steels. For each material, the onset of fracture is characterized for five distinct stress states including butterfly shear, notched tension, tension with a central hole and punch experiments. The comparison of model predictions with the experimental results demonstrates that the proposed Hosford-Coulomb model can predict the instant of ductile fracture initiation in advanced high strength steels with good accuracy.","author":[{"dropping-particle":"","family":"Mohr","given":"Dirk","non-dropping-particle":"","parse-names":false,"suffix":""},{"dropping-particle":"","family":"Marcadet","given":"Stephane J.","non-dropping-particle":"","parse-names":false,"suffix":""}],"container-title":"International Journal of Solids and Structures","id":"ITEM-1","issued":{"date-parts":[["2015"]]},"page":"40-55","publisher":"Elsevier Ltd","title":"Micromechanically-motivated phenomenological Hosford-Coulomb model for predicting ductile fracture initiation at low stress triaxialities","type":"article-journal","volume":"67-68"},"uris":["http://www.mendeley.com/documents/?uuid=1b8c4868-cf00-4f48-98dc-6b3eb9b3bcc0"]}],"mendeley":{"formattedCitation":"[14]","plainTextFormattedCitation":"[14]","previouslyFormattedCitation":"[13]"},"properties":{"noteIndex":0},"schema":"https://github.com/citation-style-language/schema/raw/master/csl-citation.json"}</w:instrText>
      </w:r>
      <w:r w:rsidRPr="00690745">
        <w:rPr>
          <w:rFonts w:eastAsia="DengXian"/>
          <w:color w:val="auto"/>
        </w:rPr>
        <w:fldChar w:fldCharType="separate"/>
      </w:r>
      <w:r w:rsidRPr="00690745">
        <w:rPr>
          <w:rFonts w:eastAsia="DengXian"/>
          <w:noProof/>
          <w:color w:val="auto"/>
        </w:rPr>
        <w:t>[14]</w:t>
      </w:r>
      <w:r w:rsidRPr="00690745">
        <w:rPr>
          <w:rFonts w:eastAsia="DengXian"/>
          <w:color w:val="auto"/>
        </w:rPr>
        <w:fldChar w:fldCharType="end"/>
      </w:r>
      <w:r w:rsidRPr="00690745">
        <w:rPr>
          <w:color w:val="auto"/>
        </w:rPr>
        <w:t xml:space="preserve"> and is given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60565235" w14:textId="77777777" w:rsidTr="0017359C">
        <w:trPr>
          <w:trHeight w:val="340"/>
        </w:trPr>
        <w:tc>
          <w:tcPr>
            <w:tcW w:w="7426" w:type="dxa"/>
            <w:shd w:val="clear" w:color="auto" w:fill="auto"/>
            <w:vAlign w:val="center"/>
          </w:tcPr>
          <w:p w14:paraId="6FE1D3E0"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σ</m:t>
                        </m:r>
                      </m:e>
                    </m:acc>
                  </m:e>
                  <m:sub>
                    <m:r>
                      <w:rPr>
                        <w:rFonts w:ascii="Cambria Math" w:eastAsia="DengXian" w:hAnsi="Cambria Math"/>
                        <w:color w:val="auto"/>
                      </w:rPr>
                      <m:t>vM</m:t>
                    </m:r>
                  </m:sub>
                  <m:sup>
                    <m:r>
                      <w:rPr>
                        <w:rFonts w:ascii="Cambria Math" w:eastAsia="DengXian" w:hAnsi="Cambria Math"/>
                        <w:color w:val="auto"/>
                      </w:rPr>
                      <m:t>HC</m:t>
                    </m:r>
                  </m:sup>
                </m:sSubSup>
                <m:d>
                  <m:dPr>
                    <m:begChr m:val="["/>
                    <m:endChr m:val="]"/>
                    <m:ctrlPr>
                      <w:rPr>
                        <w:rFonts w:ascii="Cambria Math" w:eastAsia="DengXian" w:hAnsi="Cambria Math"/>
                        <w:iCs/>
                        <w:color w:val="auto"/>
                      </w:rPr>
                    </m:ctrlPr>
                  </m:dPr>
                  <m:e>
                    <m:r>
                      <w:rPr>
                        <w:rFonts w:ascii="Cambria Math" w:eastAsia="DengXian" w:hAnsi="Cambria Math"/>
                        <w:color w:val="auto"/>
                      </w:rPr>
                      <m:t>η</m:t>
                    </m:r>
                    <m:r>
                      <m:rPr>
                        <m:sty m:val="p"/>
                      </m:rP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θ</m:t>
                        </m:r>
                      </m:e>
                    </m:acc>
                  </m:e>
                </m:d>
                <m:r>
                  <m:rPr>
                    <m:sty m:val="p"/>
                  </m:rPr>
                  <w:rPr>
                    <w:rFonts w:ascii="Cambria Math" w:eastAsia="DengXian" w:hAnsi="Cambria Math"/>
                    <w:color w:val="auto"/>
                  </w:rPr>
                  <m:t xml:space="preserve">= </m:t>
                </m:r>
                <m:f>
                  <m:fPr>
                    <m:ctrlPr>
                      <w:rPr>
                        <w:rFonts w:ascii="Cambria Math" w:eastAsia="DengXian" w:hAnsi="Cambria Math"/>
                        <w:iCs/>
                        <w:color w:val="auto"/>
                      </w:rPr>
                    </m:ctrlPr>
                  </m:fPr>
                  <m:num>
                    <m:r>
                      <w:rPr>
                        <w:rFonts w:ascii="Cambria Math" w:eastAsia="DengXian" w:hAnsi="Cambria Math"/>
                        <w:color w:val="auto"/>
                      </w:rPr>
                      <m:t>b</m:t>
                    </m:r>
                  </m:num>
                  <m:den>
                    <m:sSup>
                      <m:sSupPr>
                        <m:ctrlPr>
                          <w:rPr>
                            <w:rFonts w:ascii="Cambria Math" w:eastAsia="DengXian" w:hAnsi="Cambria Math"/>
                            <w:iCs/>
                            <w:color w:val="auto"/>
                          </w:rPr>
                        </m:ctrlPr>
                      </m:sSupPr>
                      <m:e>
                        <m:d>
                          <m:dPr>
                            <m:begChr m:val="{"/>
                            <m:endChr m:val="}"/>
                            <m:ctrlPr>
                              <w:rPr>
                                <w:rFonts w:ascii="Cambria Math" w:eastAsia="DengXian" w:hAnsi="Cambria Math"/>
                                <w:iCs/>
                                <w:color w:val="auto"/>
                              </w:rPr>
                            </m:ctrlPr>
                          </m:dPr>
                          <m:e>
                            <m:f>
                              <m:fPr>
                                <m:ctrlPr>
                                  <w:rPr>
                                    <w:rFonts w:ascii="Cambria Math" w:eastAsia="DengXian" w:hAnsi="Cambria Math"/>
                                    <w:iCs/>
                                    <w:color w:val="auto"/>
                                  </w:rPr>
                                </m:ctrlPr>
                              </m:fPr>
                              <m:num>
                                <m:r>
                                  <m:rPr>
                                    <m:sty m:val="p"/>
                                  </m:rPr>
                                  <w:rPr>
                                    <w:rFonts w:ascii="Cambria Math" w:eastAsia="DengXian" w:hAnsi="Cambria Math"/>
                                    <w:color w:val="auto"/>
                                  </w:rPr>
                                  <m:t>1</m:t>
                                </m:r>
                              </m:num>
                              <m:den>
                                <m:r>
                                  <m:rPr>
                                    <m:sty m:val="p"/>
                                  </m:rPr>
                                  <w:rPr>
                                    <w:rFonts w:ascii="Cambria Math" w:eastAsia="DengXian" w:hAnsi="Cambria Math"/>
                                    <w:color w:val="auto"/>
                                  </w:rPr>
                                  <m:t>2</m:t>
                                </m:r>
                              </m:den>
                            </m:f>
                            <m:d>
                              <m:dPr>
                                <m:begChr m:val="["/>
                                <m:endChr m:val="]"/>
                                <m:ctrlPr>
                                  <w:rPr>
                                    <w:rFonts w:ascii="Cambria Math" w:eastAsia="DengXian" w:hAnsi="Cambria Math"/>
                                    <w:iCs/>
                                    <w:color w:val="auto"/>
                                  </w:rPr>
                                </m:ctrlPr>
                              </m:dPr>
                              <m:e>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2</m:t>
                                            </m:r>
                                          </m:sub>
                                        </m:sSub>
                                      </m:e>
                                    </m:d>
                                  </m:e>
                                  <m:sup>
                                    <m:r>
                                      <w:rPr>
                                        <w:rFonts w:ascii="Cambria Math" w:eastAsia="DengXian" w:hAnsi="Cambria Math"/>
                                        <w:color w:val="auto"/>
                                      </w:rPr>
                                      <m:t>a</m:t>
                                    </m:r>
                                  </m:sup>
                                </m:sSup>
                                <m:r>
                                  <m:rPr>
                                    <m:sty m:val="p"/>
                                  </m:rPr>
                                  <w:rPr>
                                    <w:rFonts w:ascii="Cambria Math" w:eastAsia="DengXian" w:hAnsi="Cambria Math"/>
                                    <w:color w:val="auto"/>
                                  </w:rPr>
                                  <m:t>+</m:t>
                                </m:r>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2</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e>
                                  <m:sup>
                                    <m:r>
                                      <w:rPr>
                                        <w:rFonts w:ascii="Cambria Math" w:eastAsia="DengXian" w:hAnsi="Cambria Math"/>
                                        <w:color w:val="auto"/>
                                      </w:rPr>
                                      <m:t>a</m:t>
                                    </m:r>
                                  </m:sup>
                                </m:sSup>
                                <m:r>
                                  <m:rPr>
                                    <m:sty m:val="p"/>
                                  </m:rPr>
                                  <w:rPr>
                                    <w:rFonts w:ascii="Cambria Math" w:eastAsia="DengXian" w:hAnsi="Cambria Math"/>
                                    <w:color w:val="auto"/>
                                  </w:rPr>
                                  <m:t>+</m:t>
                                </m:r>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e>
                                  <m:sup>
                                    <m:r>
                                      <w:rPr>
                                        <w:rFonts w:ascii="Cambria Math" w:eastAsia="DengXian" w:hAnsi="Cambria Math"/>
                                        <w:color w:val="auto"/>
                                      </w:rPr>
                                      <m:t>a</m:t>
                                    </m:r>
                                  </m:sup>
                                </m:sSup>
                              </m:e>
                            </m:d>
                          </m:e>
                        </m:d>
                      </m:e>
                      <m:sup>
                        <m:f>
                          <m:fPr>
                            <m:ctrlPr>
                              <w:rPr>
                                <w:rFonts w:ascii="Cambria Math" w:eastAsia="DengXian" w:hAnsi="Cambria Math"/>
                                <w:iCs/>
                                <w:color w:val="auto"/>
                              </w:rPr>
                            </m:ctrlPr>
                          </m:fPr>
                          <m:num>
                            <m:r>
                              <m:rPr>
                                <m:sty m:val="p"/>
                              </m:rPr>
                              <w:rPr>
                                <w:rFonts w:ascii="Cambria Math" w:eastAsia="DengXian" w:hAnsi="Cambria Math"/>
                                <w:color w:val="auto"/>
                              </w:rPr>
                              <m:t>1</m:t>
                            </m:r>
                          </m:num>
                          <m:den>
                            <m:r>
                              <w:rPr>
                                <w:rFonts w:ascii="Cambria Math" w:eastAsia="DengXian" w:hAnsi="Cambria Math"/>
                                <w:color w:val="auto"/>
                              </w:rPr>
                              <m:t>a</m:t>
                            </m:r>
                          </m:den>
                        </m:f>
                      </m:sup>
                    </m:sSup>
                    <m:r>
                      <m:rPr>
                        <m:sty m:val="p"/>
                      </m:rPr>
                      <w:rPr>
                        <w:rFonts w:ascii="Cambria Math" w:eastAsia="DengXian" w:hAnsi="Cambria Math"/>
                        <w:color w:val="auto"/>
                      </w:rPr>
                      <m:t>+</m:t>
                    </m:r>
                    <m:r>
                      <w:rPr>
                        <w:rFonts w:ascii="Cambria Math" w:eastAsia="DengXian" w:hAnsi="Cambria Math"/>
                        <w:color w:val="auto"/>
                      </w:rPr>
                      <m:t>c</m:t>
                    </m:r>
                    <m:d>
                      <m:dPr>
                        <m:ctrlPr>
                          <w:rPr>
                            <w:rFonts w:ascii="Cambria Math" w:eastAsia="DengXian" w:hAnsi="Cambria Math"/>
                            <w:iCs/>
                            <w:color w:val="auto"/>
                          </w:rPr>
                        </m:ctrlPr>
                      </m:dPr>
                      <m:e>
                        <m:r>
                          <m:rPr>
                            <m:sty m:val="p"/>
                          </m:rPr>
                          <w:rPr>
                            <w:rFonts w:ascii="Cambria Math" w:eastAsia="DengXian" w:hAnsi="Cambria Math"/>
                            <w:color w:val="auto"/>
                          </w:rPr>
                          <m:t>2</m:t>
                        </m:r>
                        <m:r>
                          <w:rPr>
                            <w:rFonts w:ascii="Cambria Math" w:eastAsia="DengXian" w:hAnsi="Cambria Math"/>
                            <w:color w:val="auto"/>
                          </w:rPr>
                          <m:t>η</m:t>
                        </m:r>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den>
                </m:f>
              </m:oMath>
            </m:oMathPara>
          </w:p>
        </w:tc>
        <w:tc>
          <w:tcPr>
            <w:tcW w:w="430" w:type="dxa"/>
            <w:shd w:val="clear" w:color="auto" w:fill="auto"/>
            <w:vAlign w:val="center"/>
          </w:tcPr>
          <w:p w14:paraId="458A2911" w14:textId="26CCD8CB"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7</w:t>
            </w:r>
            <w:r w:rsidRPr="00690745">
              <w:rPr>
                <w:rFonts w:eastAsia="DengXian"/>
                <w:iCs/>
                <w:color w:val="auto"/>
              </w:rPr>
              <w:fldChar w:fldCharType="end"/>
            </w:r>
            <w:r w:rsidRPr="00690745">
              <w:rPr>
                <w:rFonts w:eastAsia="DengXian"/>
                <w:iCs/>
                <w:color w:val="auto"/>
              </w:rPr>
              <w:t>)</w:t>
            </w:r>
          </w:p>
        </w:tc>
      </w:tr>
    </w:tbl>
    <w:p w14:paraId="6A9C9DB5" w14:textId="09EFFB73" w:rsidR="00257B12" w:rsidRPr="00690745" w:rsidRDefault="00383D7F" w:rsidP="00A9094A">
      <w:pPr>
        <w:pStyle w:val="MDPI32textnoindent"/>
        <w:rPr>
          <w:rFonts w:eastAsia="DengXian"/>
        </w:rPr>
      </w:pPr>
      <w:r>
        <w:rPr>
          <w:rFonts w:eastAsia="DengXian"/>
        </w:rPr>
        <w:t>w</w:t>
      </w:r>
      <w:r w:rsidRPr="00690745">
        <w:rPr>
          <w:rFonts w:eastAsia="DengXian"/>
        </w:rPr>
        <w:t>ith</w:t>
      </w:r>
      <w:r>
        <w:rPr>
          <w:rFonts w:eastAsia="DengXian"/>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020FAA78" w14:textId="77777777" w:rsidTr="0017359C">
        <w:trPr>
          <w:trHeight w:val="340"/>
        </w:trPr>
        <w:tc>
          <w:tcPr>
            <w:tcW w:w="7426" w:type="dxa"/>
            <w:shd w:val="clear" w:color="auto" w:fill="auto"/>
            <w:vAlign w:val="center"/>
          </w:tcPr>
          <w:p w14:paraId="155B1C85" w14:textId="77777777" w:rsidR="00257B12" w:rsidRPr="00690745" w:rsidRDefault="009F29D0" w:rsidP="0017359C">
            <w:pPr>
              <w:spacing w:before="120" w:after="120"/>
              <w:ind w:left="706"/>
              <w:jc w:val="center"/>
              <w:rPr>
                <w:color w:val="auto"/>
              </w:rPr>
            </w:pPr>
            <m:oMathPara>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1</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2</m:t>
                    </m:r>
                  </m:num>
                  <m:den>
                    <m:r>
                      <w:rPr>
                        <w:rFonts w:ascii="Cambria Math" w:hAnsi="Cambria Math"/>
                        <w:color w:val="auto"/>
                      </w:rPr>
                      <m:t>3</m:t>
                    </m:r>
                  </m:den>
                </m:f>
                <m:func>
                  <m:funcPr>
                    <m:ctrlPr>
                      <w:rPr>
                        <w:rFonts w:ascii="Cambria Math" w:hAnsi="Cambria Math"/>
                        <w:i/>
                        <w:color w:val="auto"/>
                      </w:rPr>
                    </m:ctrlPr>
                  </m:funcPr>
                  <m:fName>
                    <m:r>
                      <m:rPr>
                        <m:sty m:val="p"/>
                      </m:rPr>
                      <w:rPr>
                        <w:rFonts w:ascii="Cambria Math" w:hAnsi="Cambria Math"/>
                        <w:color w:val="auto"/>
                      </w:rPr>
                      <m:t>cos</m:t>
                    </m:r>
                  </m:fName>
                  <m:e>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π</m:t>
                            </m:r>
                          </m:num>
                          <m:den>
                            <m:r>
                              <w:rPr>
                                <w:rFonts w:ascii="Cambria Math" w:hAnsi="Cambria Math"/>
                                <w:color w:val="auto"/>
                              </w:rPr>
                              <m:t>6</m:t>
                            </m:r>
                          </m:den>
                        </m:f>
                        <m:d>
                          <m:dPr>
                            <m:ctrlPr>
                              <w:rPr>
                                <w:rFonts w:ascii="Cambria Math" w:hAnsi="Cambria Math"/>
                                <w:i/>
                                <w:color w:val="auto"/>
                              </w:rPr>
                            </m:ctrlPr>
                          </m:dPr>
                          <m:e>
                            <m:r>
                              <w:rPr>
                                <w:rFonts w:ascii="Cambria Math" w:hAnsi="Cambria Math"/>
                                <w:color w:val="auto"/>
                              </w:rPr>
                              <m:t>1-</m:t>
                            </m:r>
                            <m:acc>
                              <m:accPr>
                                <m:chr m:val="̅"/>
                                <m:ctrlPr>
                                  <w:rPr>
                                    <w:rFonts w:ascii="Cambria Math" w:hAnsi="Cambria Math"/>
                                    <w:i/>
                                    <w:color w:val="auto"/>
                                  </w:rPr>
                                </m:ctrlPr>
                              </m:accPr>
                              <m:e>
                                <m:r>
                                  <w:rPr>
                                    <w:rFonts w:ascii="Cambria Math" w:hAnsi="Cambria Math"/>
                                    <w:color w:val="auto"/>
                                  </w:rPr>
                                  <m:t>θ</m:t>
                                </m:r>
                              </m:e>
                            </m:acc>
                          </m:e>
                        </m:d>
                      </m:e>
                    </m:d>
                  </m:e>
                </m:func>
              </m:oMath>
            </m:oMathPara>
          </w:p>
          <w:p w14:paraId="6361E624" w14:textId="77777777" w:rsidR="00257B12" w:rsidRPr="00690745" w:rsidRDefault="009F29D0" w:rsidP="0017359C">
            <w:pPr>
              <w:spacing w:before="120" w:after="120"/>
              <w:ind w:left="706"/>
              <w:jc w:val="center"/>
              <w:rPr>
                <w:iCs/>
                <w:color w:val="auto"/>
              </w:rPr>
            </w:pPr>
            <m:oMathPara>
              <m:oMath>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2</m:t>
                    </m:r>
                  </m:sub>
                </m:sSub>
                <m:r>
                  <m:rPr>
                    <m:sty m:val="p"/>
                  </m:rPr>
                  <w:rPr>
                    <w:rFonts w:ascii="Cambria Math" w:eastAsia="DengXian" w:hAnsi="Cambria Math"/>
                    <w:color w:val="auto"/>
                  </w:rPr>
                  <m:t>=</m:t>
                </m:r>
                <m:f>
                  <m:fPr>
                    <m:ctrlPr>
                      <w:rPr>
                        <w:rFonts w:ascii="Cambria Math" w:eastAsia="DengXian" w:hAnsi="Cambria Math"/>
                        <w:iCs/>
                        <w:color w:val="auto"/>
                      </w:rPr>
                    </m:ctrlPr>
                  </m:fPr>
                  <m:num>
                    <m:r>
                      <m:rPr>
                        <m:sty m:val="p"/>
                      </m:rPr>
                      <w:rPr>
                        <w:rFonts w:ascii="Cambria Math" w:eastAsia="DengXian" w:hAnsi="Cambria Math"/>
                        <w:color w:val="auto"/>
                      </w:rPr>
                      <m:t>2</m:t>
                    </m:r>
                  </m:num>
                  <m:den>
                    <m:r>
                      <m:rPr>
                        <m:sty m:val="p"/>
                      </m:rPr>
                      <w:rPr>
                        <w:rFonts w:ascii="Cambria Math" w:eastAsia="DengXian" w:hAnsi="Cambria Math"/>
                        <w:color w:val="auto"/>
                      </w:rPr>
                      <m:t>3</m:t>
                    </m:r>
                  </m:den>
                </m:f>
                <m:func>
                  <m:funcPr>
                    <m:ctrlPr>
                      <w:rPr>
                        <w:rFonts w:ascii="Cambria Math" w:eastAsia="DengXian" w:hAnsi="Cambria Math"/>
                        <w:iCs/>
                        <w:color w:val="auto"/>
                      </w:rPr>
                    </m:ctrlPr>
                  </m:funcPr>
                  <m:fName>
                    <m:r>
                      <m:rPr>
                        <m:sty m:val="p"/>
                      </m:rPr>
                      <w:rPr>
                        <w:rFonts w:ascii="Cambria Math" w:eastAsia="DengXian" w:hAnsi="Cambria Math"/>
                        <w:color w:val="auto"/>
                      </w:rPr>
                      <m:t>cos</m:t>
                    </m:r>
                  </m:fName>
                  <m:e>
                    <m:d>
                      <m:dPr>
                        <m:begChr m:val="["/>
                        <m:endChr m:val="]"/>
                        <m:ctrlPr>
                          <w:rPr>
                            <w:rFonts w:ascii="Cambria Math" w:eastAsia="DengXian" w:hAnsi="Cambria Math"/>
                            <w:iCs/>
                            <w:color w:val="auto"/>
                          </w:rPr>
                        </m:ctrlPr>
                      </m:dPr>
                      <m:e>
                        <m:f>
                          <m:fPr>
                            <m:ctrlPr>
                              <w:rPr>
                                <w:rFonts w:ascii="Cambria Math" w:eastAsia="DengXian" w:hAnsi="Cambria Math"/>
                                <w:iCs/>
                                <w:color w:val="auto"/>
                              </w:rPr>
                            </m:ctrlPr>
                          </m:fPr>
                          <m:num>
                            <m:r>
                              <w:rPr>
                                <w:rFonts w:ascii="Cambria Math" w:eastAsia="DengXian" w:hAnsi="Cambria Math"/>
                                <w:color w:val="auto"/>
                              </w:rPr>
                              <m:t>π</m:t>
                            </m:r>
                          </m:num>
                          <m:den>
                            <m:r>
                              <m:rPr>
                                <m:sty m:val="p"/>
                              </m:rPr>
                              <w:rPr>
                                <w:rFonts w:ascii="Cambria Math" w:eastAsia="DengXian" w:hAnsi="Cambria Math"/>
                                <w:color w:val="auto"/>
                              </w:rPr>
                              <m:t>6</m:t>
                            </m:r>
                          </m:den>
                        </m:f>
                        <m:d>
                          <m:dPr>
                            <m:ctrlPr>
                              <w:rPr>
                                <w:rFonts w:ascii="Cambria Math" w:eastAsia="DengXian" w:hAnsi="Cambria Math"/>
                                <w:iCs/>
                                <w:color w:val="auto"/>
                              </w:rPr>
                            </m:ctrlPr>
                          </m:dPr>
                          <m:e>
                            <m:r>
                              <m:rPr>
                                <m:sty m:val="p"/>
                              </m:rPr>
                              <w:rPr>
                                <w:rFonts w:ascii="Cambria Math" w:eastAsia="DengXian" w:hAnsi="Cambria Math"/>
                                <w:color w:val="auto"/>
                              </w:rPr>
                              <m:t>3+</m:t>
                            </m:r>
                            <m:acc>
                              <m:accPr>
                                <m:chr m:val="̅"/>
                                <m:ctrlPr>
                                  <w:rPr>
                                    <w:rFonts w:ascii="Cambria Math" w:eastAsia="DengXian" w:hAnsi="Cambria Math"/>
                                    <w:iCs/>
                                    <w:color w:val="auto"/>
                                  </w:rPr>
                                </m:ctrlPr>
                              </m:accPr>
                              <m:e>
                                <m:r>
                                  <w:rPr>
                                    <w:rFonts w:ascii="Cambria Math" w:eastAsia="DengXian" w:hAnsi="Cambria Math"/>
                                    <w:color w:val="auto"/>
                                  </w:rPr>
                                  <m:t>θ</m:t>
                                </m:r>
                              </m:e>
                            </m:acc>
                          </m:e>
                        </m:d>
                      </m:e>
                    </m:d>
                  </m:e>
                </m:func>
              </m:oMath>
            </m:oMathPara>
          </w:p>
          <w:p w14:paraId="3DC6EC63" w14:textId="77777777" w:rsidR="00257B12" w:rsidRPr="00690745" w:rsidRDefault="009F29D0" w:rsidP="0017359C">
            <w:pPr>
              <w:keepNext/>
              <w:tabs>
                <w:tab w:val="center" w:pos="4680"/>
                <w:tab w:val="right" w:pos="9000"/>
              </w:tabs>
              <w:spacing w:line="240" w:lineRule="auto"/>
              <w:rPr>
                <w:color w:val="auto"/>
              </w:rPr>
            </w:pPr>
            <m:oMathPara>
              <m:oMath>
                <m:sSub>
                  <m:sSubPr>
                    <m:ctrlPr>
                      <w:rPr>
                        <w:rFonts w:ascii="Cambria Math" w:hAnsi="Cambria Math"/>
                        <w:i/>
                        <w:color w:val="auto"/>
                      </w:rPr>
                    </m:ctrlPr>
                  </m:sSubPr>
                  <m:e>
                    <m:r>
                      <w:rPr>
                        <w:rFonts w:ascii="Cambria Math" w:hAnsi="Cambria Math"/>
                        <w:color w:val="auto"/>
                      </w:rPr>
                      <m:t>f</m:t>
                    </m:r>
                  </m:e>
                  <m:sub>
                    <m:r>
                      <w:rPr>
                        <w:rFonts w:ascii="Cambria Math" w:hAnsi="Cambria Math"/>
                        <w:color w:val="auto"/>
                      </w:rPr>
                      <m:t>3</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2</m:t>
                    </m:r>
                  </m:num>
                  <m:den>
                    <m:r>
                      <w:rPr>
                        <w:rFonts w:ascii="Cambria Math" w:hAnsi="Cambria Math"/>
                        <w:color w:val="auto"/>
                      </w:rPr>
                      <m:t>3</m:t>
                    </m:r>
                  </m:den>
                </m:f>
                <m:func>
                  <m:funcPr>
                    <m:ctrlPr>
                      <w:rPr>
                        <w:rFonts w:ascii="Cambria Math" w:hAnsi="Cambria Math"/>
                        <w:i/>
                        <w:color w:val="auto"/>
                      </w:rPr>
                    </m:ctrlPr>
                  </m:funcPr>
                  <m:fName>
                    <m:r>
                      <m:rPr>
                        <m:sty m:val="p"/>
                      </m:rPr>
                      <w:rPr>
                        <w:rFonts w:ascii="Cambria Math" w:hAnsi="Cambria Math"/>
                        <w:color w:val="auto"/>
                      </w:rPr>
                      <m:t>cos</m:t>
                    </m:r>
                  </m:fName>
                  <m:e>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π</m:t>
                            </m:r>
                          </m:num>
                          <m:den>
                            <m:r>
                              <w:rPr>
                                <w:rFonts w:ascii="Cambria Math" w:hAnsi="Cambria Math"/>
                                <w:color w:val="auto"/>
                              </w:rPr>
                              <m:t>6</m:t>
                            </m:r>
                          </m:den>
                        </m:f>
                        <m:d>
                          <m:dPr>
                            <m:ctrlPr>
                              <w:rPr>
                                <w:rFonts w:ascii="Cambria Math" w:hAnsi="Cambria Math"/>
                                <w:i/>
                                <w:color w:val="auto"/>
                              </w:rPr>
                            </m:ctrlPr>
                          </m:dPr>
                          <m:e>
                            <m:r>
                              <w:rPr>
                                <w:rFonts w:ascii="Cambria Math" w:hAnsi="Cambria Math"/>
                                <w:color w:val="auto"/>
                              </w:rPr>
                              <m:t>1+</m:t>
                            </m:r>
                            <m:acc>
                              <m:accPr>
                                <m:chr m:val="̅"/>
                                <m:ctrlPr>
                                  <w:rPr>
                                    <w:rFonts w:ascii="Cambria Math" w:hAnsi="Cambria Math"/>
                                    <w:i/>
                                    <w:color w:val="auto"/>
                                  </w:rPr>
                                </m:ctrlPr>
                              </m:accPr>
                              <m:e>
                                <m:r>
                                  <w:rPr>
                                    <w:rFonts w:ascii="Cambria Math" w:hAnsi="Cambria Math"/>
                                    <w:color w:val="auto"/>
                                  </w:rPr>
                                  <m:t>θ</m:t>
                                </m:r>
                              </m:e>
                            </m:acc>
                          </m:e>
                        </m:d>
                      </m:e>
                    </m:d>
                  </m:e>
                </m:func>
              </m:oMath>
            </m:oMathPara>
          </w:p>
        </w:tc>
        <w:tc>
          <w:tcPr>
            <w:tcW w:w="430" w:type="dxa"/>
            <w:shd w:val="clear" w:color="auto" w:fill="auto"/>
            <w:vAlign w:val="center"/>
          </w:tcPr>
          <w:p w14:paraId="13676EBB" w14:textId="1AC34F4B" w:rsidR="00257B12" w:rsidRPr="00690745" w:rsidRDefault="00257B12" w:rsidP="0017359C">
            <w:pPr>
              <w:spacing w:before="120" w:after="120"/>
              <w:jc w:val="right"/>
              <w:rPr>
                <w:color w:val="auto"/>
              </w:rPr>
            </w:pPr>
            <w:r w:rsidRPr="00690745">
              <w:rPr>
                <w:color w:val="auto"/>
              </w:rPr>
              <w:t>(</w:t>
            </w:r>
            <w:r w:rsidRPr="00690745">
              <w:rPr>
                <w:color w:val="auto"/>
              </w:rPr>
              <w:fldChar w:fldCharType="begin"/>
            </w:r>
            <w:r w:rsidRPr="00690745">
              <w:rPr>
                <w:color w:val="auto"/>
              </w:rPr>
              <w:instrText xml:space="preserve"> seq EquationSeq \* \Arabic </w:instrText>
            </w:r>
            <w:r w:rsidRPr="00690745">
              <w:rPr>
                <w:color w:val="auto"/>
              </w:rPr>
              <w:fldChar w:fldCharType="separate"/>
            </w:r>
            <w:r w:rsidR="00794EC3">
              <w:rPr>
                <w:color w:val="auto"/>
              </w:rPr>
              <w:t>8</w:t>
            </w:r>
            <w:r w:rsidRPr="00690745">
              <w:rPr>
                <w:color w:val="auto"/>
              </w:rPr>
              <w:fldChar w:fldCharType="end"/>
            </w:r>
            <w:r w:rsidRPr="00690745">
              <w:rPr>
                <w:color w:val="auto"/>
              </w:rPr>
              <w:t>)</w:t>
            </w:r>
          </w:p>
        </w:tc>
      </w:tr>
    </w:tbl>
    <w:p w14:paraId="2E0B695A" w14:textId="1A08878A" w:rsidR="00257B12" w:rsidRPr="00E605D4" w:rsidRDefault="00257B12" w:rsidP="000676A0">
      <w:pPr>
        <w:pStyle w:val="MDPI32textnoindent"/>
        <w:rPr>
          <w:rFonts w:eastAsia="DengXian"/>
          <w:color w:val="auto"/>
        </w:rPr>
      </w:pPr>
      <w:r w:rsidRPr="00E605D4">
        <w:rPr>
          <w:color w:val="auto"/>
        </w:rPr>
        <w:t xml:space="preserve">where model parameters </w:t>
      </w:r>
      <w:r w:rsidRPr="00E605D4">
        <w:rPr>
          <w:i/>
          <w:iCs/>
          <w:color w:val="auto"/>
        </w:rPr>
        <w:t>a</w:t>
      </w:r>
      <w:r w:rsidRPr="00E605D4">
        <w:rPr>
          <w:color w:val="auto"/>
        </w:rPr>
        <w:t xml:space="preserve"> (Hosford exponent</w:t>
      </w:r>
      <w:r w:rsidR="00FF180E" w:rsidRPr="00E605D4">
        <w:rPr>
          <w:color w:val="auto"/>
        </w:rPr>
        <w:t>—</w:t>
      </w:r>
      <w:r w:rsidRPr="00E605D4">
        <w:rPr>
          <w:color w:val="auto"/>
        </w:rPr>
        <w:t xml:space="preserve">controls the Lode angle parameter dependence), </w:t>
      </w:r>
      <w:r w:rsidRPr="00E605D4">
        <w:rPr>
          <w:i/>
          <w:iCs/>
          <w:color w:val="auto"/>
        </w:rPr>
        <w:t>b</w:t>
      </w:r>
      <w:r w:rsidRPr="00E605D4">
        <w:rPr>
          <w:color w:val="auto"/>
        </w:rPr>
        <w:t xml:space="preserve"> (controls the height of the fracture surface), and </w:t>
      </w:r>
      <w:r w:rsidRPr="00E605D4">
        <w:rPr>
          <w:i/>
          <w:iCs/>
          <w:color w:val="auto"/>
        </w:rPr>
        <w:t>c</w:t>
      </w:r>
      <w:r w:rsidRPr="00E605D4">
        <w:rPr>
          <w:color w:val="auto"/>
        </w:rPr>
        <w:t xml:space="preserve"> (controls the stress triaxiality dependence) were calibrated for each pore size in the current study. The </w:t>
      </w:r>
      <w:proofErr w:type="spellStart"/>
      <w:r w:rsidRPr="00E605D4">
        <w:rPr>
          <w:color w:val="auto"/>
        </w:rPr>
        <w:t>Matlab</w:t>
      </w:r>
      <w:proofErr w:type="spellEnd"/>
      <w:r w:rsidRPr="00E605D4">
        <w:rPr>
          <w:color w:val="auto"/>
        </w:rPr>
        <w:t xml:space="preserve"> function (</w:t>
      </w:r>
      <w:proofErr w:type="spellStart"/>
      <w:r w:rsidRPr="00E605D4">
        <w:rPr>
          <w:color w:val="auto"/>
        </w:rPr>
        <w:t>fmincon</w:t>
      </w:r>
      <w:proofErr w:type="spellEnd"/>
      <w:r w:rsidRPr="00E605D4">
        <w:rPr>
          <w:color w:val="auto"/>
        </w:rPr>
        <w:t xml:space="preserve">) used in the calibration of the MC model parameters was adopted for the HC optimization using the same experimental/simulation data for each pore size. </w:t>
      </w:r>
      <w:r w:rsidRPr="00E605D4">
        <w:rPr>
          <w:rFonts w:eastAsia="DengXian"/>
          <w:color w:val="auto"/>
        </w:rPr>
        <w:t>The optimized parameter sets for each pore size are shown in Tables 1 and 2.</w:t>
      </w:r>
    </w:p>
    <w:p w14:paraId="06D57E8A" w14:textId="5A129857" w:rsidR="00257B12" w:rsidRPr="00E605D4" w:rsidRDefault="000676A0" w:rsidP="000676A0">
      <w:pPr>
        <w:pStyle w:val="MDPI23heading3"/>
        <w:spacing w:before="240"/>
        <w:rPr>
          <w:color w:val="auto"/>
        </w:rPr>
      </w:pPr>
      <w:r w:rsidRPr="00E605D4">
        <w:rPr>
          <w:color w:val="auto"/>
        </w:rPr>
        <w:t xml:space="preserve">2.3.2. </w:t>
      </w:r>
      <w:r w:rsidR="00257B12" w:rsidRPr="00E605D4">
        <w:rPr>
          <w:color w:val="auto"/>
        </w:rPr>
        <w:t xml:space="preserve">Equivalent </w:t>
      </w:r>
      <w:r w:rsidR="00A9094A" w:rsidRPr="00E605D4">
        <w:rPr>
          <w:color w:val="auto"/>
        </w:rPr>
        <w:t xml:space="preserve">Plastic Strain </w:t>
      </w:r>
      <w:r w:rsidR="00257B12" w:rsidRPr="00E605D4">
        <w:rPr>
          <w:color w:val="auto"/>
        </w:rPr>
        <w:t xml:space="preserve">versus </w:t>
      </w:r>
      <w:r w:rsidR="00A9094A" w:rsidRPr="00E605D4">
        <w:rPr>
          <w:color w:val="auto"/>
        </w:rPr>
        <w:t xml:space="preserve">Stress Triaxiality </w:t>
      </w:r>
      <w:r w:rsidR="00257B12" w:rsidRPr="00E605D4">
        <w:rPr>
          <w:color w:val="auto"/>
        </w:rPr>
        <w:t xml:space="preserve">and Lode </w:t>
      </w:r>
      <w:r w:rsidR="00A9094A" w:rsidRPr="00E605D4">
        <w:rPr>
          <w:color w:val="auto"/>
        </w:rPr>
        <w:t>Angle Space</w:t>
      </w:r>
    </w:p>
    <w:p w14:paraId="47641A45" w14:textId="77777777" w:rsidR="00257B12" w:rsidRPr="00E605D4" w:rsidRDefault="00257B12" w:rsidP="000676A0">
      <w:pPr>
        <w:pStyle w:val="MDPI31text"/>
        <w:rPr>
          <w:color w:val="auto"/>
        </w:rPr>
      </w:pPr>
      <w:r w:rsidRPr="00E605D4">
        <w:rPr>
          <w:color w:val="auto"/>
        </w:rPr>
        <w:t xml:space="preserve">Taking into account the higher resolution in strain to failure than stress to failure generally observed in ductile metals, the stress-based fracture criteria can be transformed to strain space through a transformation based on an appropriate plasticity model framework as described in Refs. </w:t>
      </w:r>
      <w:r w:rsidRPr="00E605D4">
        <w:rPr>
          <w:color w:val="auto"/>
        </w:rPr>
        <w:fldChar w:fldCharType="begin" w:fldLock="1"/>
      </w:r>
      <w:r w:rsidRPr="00E605D4">
        <w:rPr>
          <w:color w:val="auto"/>
        </w:rPr>
        <w:instrText>ADDIN CSL_CITATION {"citationItems":[{"id":"ITEM-1","itemData":{"DOI":"10.1007/s10704-009-9422-8","ISBN":"0376-9429","ISSN":"03769429","abstract":"The Mohr-Coulomb (M-C) fracture criterion is revisited with an objective of describing ductile fracture of isotropic crack-free solids. This criterion has been extensively used in rock and soil mechanics as it correctly accounts for the effects of hydrostatic pressure as well as the Lode angle parameter. It turns out that these two parameters, which are critical for characterizing fracture of geo-materials, also control fracture of ductile metals (Bai and Wierzbicki 2008; Xue 2007; Barsoum 2006; Wilkins et al. 1980). The local form of the M-C criterion is transformed/extended to the spherical coordinate system, where the axes are the equivalent strain to fracture (epsilon) over bar (f), the stress triaxiality eta and the normalized Lode angle parameter (theta) over bar. For a proportional loading, the fracture surface is shown to be an asymmetric function of (theta) over bar. A detailed parametric study is performed to demonstrate the effect of model parameters on the fracture locus. It was found that the M-C fracture locus predicts almost exactly the exponential decay of the material ductility with stress triaxiality, which is in accord with theoretical analysis of Rice and Tracey (1969) and the empirical equation of Hancock and Mackenzie (1976), Johnson and Cook (1985). The M-C criterion also predicts a form of Lode angle dependence which is close to parabolic. Test results of two materials, 2024-T351 aluminum alloy and TRIP RA-K40/70 (TRIP690) high strength steel sheets, are used to calibrate and validate the proposed M-C fracture model. Another advantage of the M-C fracture model is that it predicts uniquely the orientation of the fracture surface. It is shown that the direction cosines of the unit normal vector to the fracture surface are functions of the \"friction\" coefficient in the M-C criterion. The phenomenological and physical sound M-C criterion has a great potential to be used as an engineering tool for predicting ductile fracture.","author":[{"dropping-particle":"","family":"Bai","given":"Yuanli","non-dropping-particle":"","parse-names":false,"suffix":""},{"dropping-particle":"","family":"Wierzbicki","given":"Tomasz","non-dropping-particle":"","parse-names":false,"suffix":""}],"container-title":"International Journal of Fracture","id":"ITEM-1","issue":"1","issued":{"date-parts":[["2010"]]},"page":"1-20","title":"Application of extended Mohr-Coulomb criterion to ductile fracture","type":"article-journal","volume":"161"},"uris":["http://www.mendeley.com/documents/?uuid=93f6c1f8-fb22-4e48-93c5-801e2940ab78"]},{"id":"ITEM-2","itemData":{"DOI":"10.1016/j.ijsolstr.2015.02.024","ISBN":"0020-7683","ISSN":"00207683","abstract":"A phenomenological ductile fracture initiation model for metals is developed for predicting ductile fracture in industrial practice. Its formulation is based on the assumption that the onset of fracture is imminent with the formation of a primary or secondary band of localization. The results from a unit cell analysis on a Levy-von Mises material with spherical defects revealed that a Mohr-Coulomb type of model is suitable for predicting the onset of shear and normal localization. To improve the agreement of the model predictions with experimental results, an extended Mohr-Coulomb criterion is proposed which makes use of the Hosford equivalent stress in combination with the normal stress acting on the plane of maximum shear. A fracture initiation model is obtained by transforming the localization criterion from stress space to the space of equivalent plastic strain, stress triaxiality and Lode angle parameter using the material's isotropic hardening law. Experimental results are presented for three different advanced high strength steels. For each material, the onset of fracture is characterized for five distinct stress states including butterfly shear, notched tension, tension with a central hole and punch experiments. The comparison of model predictions with the experimental results demonstrates that the proposed Hosford-Coulomb model can predict the instant of ductile fracture initiation in advanced high strength steels with good accuracy.","author":[{"dropping-particle":"","family":"Mohr","given":"Dirk","non-dropping-particle":"","parse-names":false,"suffix":""},{"dropping-particle":"","family":"Marcadet","given":"Stephane J.","non-dropping-particle":"","parse-names":false,"suffix":""}],"container-title":"International Journal of Solids and Structures","id":"ITEM-2","issued":{"date-parts":[["2015"]]},"page":"40-55","publisher":"Elsevier Ltd","title":"Micromechanically-motivated phenomenological Hosford-Coulomb model for predicting ductile fracture initiation at low stress triaxialities","type":"article-journal","volume":"67-68"},"uris":["http://www.mendeley.com/documents/?uuid=1b8c4868-cf00-4f48-98dc-6b3eb9b3bcc0"]}],"mendeley":{"formattedCitation":"[14,22]","plainTextFormattedCitation":"[14,22]","previouslyFormattedCitation":"[13,21]"},"properties":{"noteIndex":0},"schema":"https://github.com/citation-style-language/schema/raw/master/csl-citation.json"}</w:instrText>
      </w:r>
      <w:r w:rsidRPr="00E605D4">
        <w:rPr>
          <w:color w:val="auto"/>
        </w:rPr>
        <w:fldChar w:fldCharType="separate"/>
      </w:r>
      <w:r w:rsidRPr="00E605D4">
        <w:rPr>
          <w:noProof/>
          <w:color w:val="auto"/>
        </w:rPr>
        <w:t>[14,22]</w:t>
      </w:r>
      <w:r w:rsidRPr="00E605D4">
        <w:rPr>
          <w:color w:val="auto"/>
        </w:rPr>
        <w:fldChar w:fldCharType="end"/>
      </w:r>
      <w:r w:rsidRPr="00E605D4">
        <w:rPr>
          <w:color w:val="auto"/>
        </w:rPr>
        <w:t xml:space="preserve">. For both materials discussed here, isotropic plasticity models were assumed and used in simulations. </w:t>
      </w:r>
    </w:p>
    <w:p w14:paraId="6650B45D" w14:textId="42B34768" w:rsidR="00257B12" w:rsidRPr="00690745" w:rsidRDefault="00257B12" w:rsidP="000676A0">
      <w:pPr>
        <w:pStyle w:val="MDPI31text"/>
        <w:rPr>
          <w:i/>
          <w:iCs/>
          <w:color w:val="auto"/>
        </w:rPr>
      </w:pPr>
      <w:r w:rsidRPr="00E605D4">
        <w:rPr>
          <w:color w:val="auto"/>
        </w:rPr>
        <w:lastRenderedPageBreak/>
        <w:t xml:space="preserve">The first strain-based fracture model investigated was the modified Mohr-Coulomb (MMC) fracture criterion </w:t>
      </w:r>
      <w:r w:rsidRPr="00E605D4">
        <w:rPr>
          <w:color w:val="auto"/>
        </w:rPr>
        <w:fldChar w:fldCharType="begin" w:fldLock="1"/>
      </w:r>
      <w:r w:rsidRPr="00E605D4">
        <w:rPr>
          <w:color w:val="auto"/>
        </w:rPr>
        <w:instrText>ADDIN CSL_CITATION {"citationItems":[{"id":"ITEM-1","itemData":{"DOI":"10.1007/s10704-009-9422-8","ISBN":"0376-9429","ISSN":"03769429","abstract":"The Mohr-Coulomb (M-C) fracture criterion is revisited with an objective of describing ductile fracture of isotropic crack-free solids. This criterion has been extensively used in rock and soil mechanics as it correctly accounts for the effects of hydrostatic pressure as well as the Lode angle parameter. It turns out that these two parameters, which are critical for characterizing fracture of geo-materials, also control fracture of ductile metals (Bai and Wierzbicki 2008; Xue 2007; Barsoum 2006; Wilkins et al. 1980). The local form of the M-C criterion is transformed/extended to the spherical coordinate system, where the axes are the equivalent strain to fracture (epsilon) over bar (f), the stress triaxiality eta and the normalized Lode angle parameter (theta) over bar. For a proportional loading, the fracture surface is shown to be an asymmetric function of (theta) over bar. A detailed parametric study is performed to demonstrate the effect of model parameters on the fracture locus. It was found that the M-C fracture locus predicts almost exactly the exponential decay of the material ductility with stress triaxiality, which is in accord with theoretical analysis of Rice and Tracey (1969) and the empirical equation of Hancock and Mackenzie (1976), Johnson and Cook (1985). The M-C criterion also predicts a form of Lode angle dependence which is close to parabolic. Test results of two materials, 2024-T351 aluminum alloy and TRIP RA-K40/70 (TRIP690) high strength steel sheets, are used to calibrate and validate the proposed M-C fracture model. Another advantage of the M-C fracture model is that it predicts uniquely the orientation of the fracture surface. It is shown that the direction cosines of the unit normal vector to the fracture surface are functions of the \"friction\" coefficient in the M-C criterion. The phenomenological and physical sound M-C criterion has a great potential to be used as an engineering tool for predicting ductile fracture.","author":[{"dropping-particle":"","family":"Bai","given":"Yuanli","non-dropping-particle":"","parse-names":false,"suffix":""},{"dropping-particle":"","family":"Wierzbicki","given":"Tomasz","non-dropping-particle":"","parse-names":false,"suffix":""}],"container-title":"International Journal of Fracture","id":"ITEM-1","issue":"1","issued":{"date-parts":[["2010"]]},"page":"1-20","title":"Application of extended Mohr-Coulomb criterion to ductile fracture","type":"article-journal","volume":"161"},"uris":["http://www.mendeley.com/documents/?uuid=93f6c1f8-fb22-4e48-93c5-801e2940ab78"]}],"mendeley":{"formattedCitation":"[22]","plainTextFormattedCitation":"[22]","previouslyFormattedCitation":"[21]"},"properties":{"noteIndex":0},"schema":"https://github.com/citation-style-language/schema/raw/master/csl-citation.json"}</w:instrText>
      </w:r>
      <w:r w:rsidRPr="00E605D4">
        <w:rPr>
          <w:color w:val="auto"/>
        </w:rPr>
        <w:fldChar w:fldCharType="separate"/>
      </w:r>
      <w:r w:rsidRPr="00E605D4">
        <w:rPr>
          <w:noProof/>
          <w:color w:val="auto"/>
        </w:rPr>
        <w:t>[22]</w:t>
      </w:r>
      <w:r w:rsidRPr="00E605D4">
        <w:rPr>
          <w:color w:val="auto"/>
        </w:rPr>
        <w:fldChar w:fldCharType="end"/>
      </w:r>
      <w:r w:rsidRPr="00E605D4">
        <w:rPr>
          <w:color w:val="auto"/>
        </w:rPr>
        <w:t>.</w:t>
      </w:r>
      <w:r w:rsidR="000676A0" w:rsidRPr="00E605D4">
        <w:rPr>
          <w:color w:val="auto"/>
        </w:rPr>
        <w:t xml:space="preserve"> </w:t>
      </w:r>
      <w:r w:rsidRPr="00E605D4">
        <w:rPr>
          <w:color w:val="auto"/>
        </w:rPr>
        <w:t xml:space="preserve">This model is based on transforming the MC model from stress space to strain space by assuming a plasticity framework as described in </w:t>
      </w:r>
      <w:r w:rsidRPr="00E605D4">
        <w:rPr>
          <w:color w:val="auto"/>
        </w:rPr>
        <w:fldChar w:fldCharType="begin" w:fldLock="1"/>
      </w:r>
      <w:r w:rsidRPr="00E605D4">
        <w:rPr>
          <w:color w:val="auto"/>
        </w:rPr>
        <w:instrText>ADDIN CSL_CITATION {"citationItems":[{"id":"ITEM-1","itemData":{"DOI":"10.1007/s10704-009-9422-8","ISBN":"0376-9429","ISSN":"03769429","abstract":"The Mohr-Coulomb (M-C) fracture criterion is revisited with an objective of describing ductile fracture of isotropic crack-free solids. This criterion has been extensively used in rock and soil mechanics as it correctly accounts for the effects of hydrostatic pressure as well as the Lode angle parameter. It turns out that these two parameters, which are critical for characterizing fracture of geo-materials, also control fracture of ductile metals (Bai and Wierzbicki 2008; Xue 2007; Barsoum 2006; Wilkins et al. 1980). The local form of the M-C criterion is transformed/extended to the spherical coordinate system, where the axes are the equivalent strain to fracture (epsilon) over bar (f), the stress triaxiality eta and the normalized Lode angle parameter (theta) over bar. For a proportional loading, the fracture surface is shown to be an asymmetric function of (theta) over bar. A detailed parametric study is performed to demonstrate the effect of model parameters on the fracture locus. It was found that the M-C fracture locus predicts almost exactly the exponential decay of the material ductility with stress triaxiality, which is in accord with theoretical analysis of Rice and Tracey (1969) and the empirical equation of Hancock and Mackenzie (1976), Johnson and Cook (1985). The M-C criterion also predicts a form of Lode angle dependence which is close to parabolic. Test results of two materials, 2024-T351 aluminum alloy and TRIP RA-K40/70 (TRIP690) high strength steel sheets, are used to calibrate and validate the proposed M-C fracture model. Another advantage of the M-C fracture model is that it predicts uniquely the orientation of the fracture surface. It is shown that the direction cosines of the unit normal vector to the fracture surface are functions of the \"friction\" coefficient in the M-C criterion. The phenomenological and physical sound M-C criterion has a great potential to be used as an engineering tool for predicting ductile fracture.","author":[{"dropping-particle":"","family":"Bai","given":"Yuanli","non-dropping-particle":"","parse-names":false,"suffix":""},{"dropping-particle":"","family":"Wierzbicki","given":"Tomasz","non-dropping-particle":"","parse-names":false,"suffix":""}],"container-title":"International Journal of Fracture","id":"ITEM-1","issue":"1","issued":{"date-parts":[["2010"]]},"page":"1-20","title":"Application of extended Mohr-Coulomb criterion to ductile fracture","type":"article-journal","volume":"161"},"uris":["http://www.mendeley.com/documents/?uuid=93f6c1f8-fb22-4e48-93c5-801e2940ab78"]}],"mendeley":{"formattedCitation":"[22]","plainTextFormattedCitation":"[22]","previouslyFormattedCitation":"[21]"},"properties":{"noteIndex":0},"schema":"https://github.com/citation-style-language/schema/raw/master/csl-citation.json"}</w:instrText>
      </w:r>
      <w:r w:rsidRPr="00E605D4">
        <w:rPr>
          <w:color w:val="auto"/>
        </w:rPr>
        <w:fldChar w:fldCharType="separate"/>
      </w:r>
      <w:r w:rsidRPr="00E605D4">
        <w:rPr>
          <w:noProof/>
          <w:color w:val="auto"/>
        </w:rPr>
        <w:t>[22]</w:t>
      </w:r>
      <w:r w:rsidRPr="00E605D4">
        <w:rPr>
          <w:color w:val="auto"/>
        </w:rPr>
        <w:fldChar w:fldCharType="end"/>
      </w:r>
      <w:r w:rsidRPr="00E605D4">
        <w:rPr>
          <w:color w:val="auto"/>
        </w:rPr>
        <w:t>.</w:t>
      </w:r>
      <w:r w:rsidR="000676A0" w:rsidRPr="00E605D4">
        <w:rPr>
          <w:color w:val="auto"/>
        </w:rPr>
        <w:t xml:space="preserve"> </w:t>
      </w:r>
      <w:r w:rsidRPr="00E605D4">
        <w:rPr>
          <w:color w:val="auto"/>
        </w:rPr>
        <w:t xml:space="preserve">This </w:t>
      </w:r>
      <w:r w:rsidRPr="00690745">
        <w:rPr>
          <w:color w:val="auto"/>
        </w:rPr>
        <w:t>results in a definition of strain to failure, under the constraints of proportional loading, in (</w:t>
      </w:r>
      <m:oMath>
        <m:sSub>
          <m:sSubPr>
            <m:ctrlPr>
              <w:rPr>
                <w:rFonts w:ascii="Cambria Math" w:eastAsia="DengXian" w:hAnsi="Cambria Math"/>
                <w:iCs/>
                <w:color w:val="auto"/>
              </w:rPr>
            </m:ctrlPr>
          </m:sSubPr>
          <m:e>
            <m:r>
              <w:rPr>
                <w:rFonts w:ascii="Cambria Math" w:eastAsia="DengXian" w:hAnsi="Cambria Math"/>
                <w:color w:val="auto"/>
              </w:rPr>
              <m:t>η</m:t>
            </m:r>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θ</m:t>
                </m:r>
              </m:e>
            </m:acc>
          </m:e>
          <m:sub>
            <m:r>
              <w:rPr>
                <w:rFonts w:ascii="Cambria Math" w:eastAsia="DengXian" w:hAnsi="Cambria Math"/>
                <w:color w:val="auto"/>
              </w:rPr>
              <m:t>av</m:t>
            </m:r>
          </m:sub>
        </m:sSub>
      </m:oMath>
      <w:r w:rsidRPr="00690745">
        <w:rPr>
          <w:rFonts w:eastAsia="DengXian"/>
          <w:iCs/>
          <w:color w:val="auto"/>
        </w:rPr>
        <w:t xml:space="preserve">, </w:t>
      </w:r>
      <m:oMath>
        <m:sSub>
          <m:sSubPr>
            <m:ctrlPr>
              <w:rPr>
                <w:rFonts w:ascii="Cambria Math" w:eastAsia="DengXian" w:hAnsi="Cambria Math"/>
                <w:i/>
                <w:iCs/>
                <w:color w:val="auto"/>
              </w:rPr>
            </m:ctrlPr>
          </m:sSubPr>
          <m:e>
            <m:acc>
              <m:accPr>
                <m:chr m:val="̅"/>
                <m:ctrlPr>
                  <w:rPr>
                    <w:rFonts w:ascii="Cambria Math" w:eastAsia="DengXian" w:hAnsi="Cambria Math"/>
                    <w:i/>
                    <w:iCs/>
                    <w:color w:val="auto"/>
                  </w:rPr>
                </m:ctrlPr>
              </m:accPr>
              <m:e>
                <m:r>
                  <w:rPr>
                    <w:rFonts w:ascii="Cambria Math" w:eastAsia="DengXian" w:hAnsi="Cambria Math"/>
                    <w:color w:val="auto"/>
                  </w:rPr>
                  <m:t>ε</m:t>
                </m:r>
              </m:e>
            </m:acc>
          </m:e>
          <m:sub>
            <m:r>
              <w:rPr>
                <w:rFonts w:ascii="Cambria Math" w:eastAsia="DengXian" w:hAnsi="Cambria Math"/>
                <w:color w:val="auto"/>
              </w:rPr>
              <m:t>f</m:t>
            </m:r>
          </m:sub>
        </m:sSub>
      </m:oMath>
      <w:r w:rsidRPr="00690745">
        <w:rPr>
          <w:rFonts w:eastAsia="DengXian"/>
          <w:color w:val="auto"/>
        </w:rPr>
        <w:t xml:space="preserve">) space </w:t>
      </w:r>
      <w:r w:rsidRPr="00690745">
        <w:rPr>
          <w:color w:val="auto"/>
        </w:rPr>
        <w:t>of:</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7AB2A95F" w14:textId="77777777" w:rsidTr="0017359C">
        <w:trPr>
          <w:trHeight w:val="340"/>
        </w:trPr>
        <w:tc>
          <w:tcPr>
            <w:tcW w:w="7426" w:type="dxa"/>
            <w:shd w:val="clear" w:color="auto" w:fill="auto"/>
            <w:vAlign w:val="center"/>
          </w:tcPr>
          <w:p w14:paraId="412431D2"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MMC</m:t>
                    </m:r>
                  </m:sup>
                </m:sSubSup>
                <m:r>
                  <m:rPr>
                    <m:sty m:val="p"/>
                  </m:rPr>
                  <w:rPr>
                    <w:rFonts w:ascii="Cambria Math" w:eastAsia="DengXian" w:hAnsi="Cambria Math"/>
                    <w:color w:val="auto"/>
                  </w:rPr>
                  <m:t>=</m:t>
                </m:r>
                <m:sSup>
                  <m:sSupPr>
                    <m:ctrlPr>
                      <w:rPr>
                        <w:rFonts w:ascii="Cambria Math" w:eastAsia="DengXian" w:hAnsi="Cambria Math"/>
                        <w:iCs/>
                        <w:color w:val="auto"/>
                      </w:rPr>
                    </m:ctrlPr>
                  </m:sSupPr>
                  <m:e>
                    <m:d>
                      <m:dPr>
                        <m:begChr m:val="{"/>
                        <m:endChr m:val="}"/>
                        <m:ctrlPr>
                          <w:rPr>
                            <w:rFonts w:ascii="Cambria Math" w:eastAsia="DengXian" w:hAnsi="Cambria Math"/>
                            <w:iCs/>
                            <w:color w:val="auto"/>
                          </w:rPr>
                        </m:ctrlPr>
                      </m:dPr>
                      <m:e>
                        <m:f>
                          <m:fPr>
                            <m:ctrlPr>
                              <w:rPr>
                                <w:rFonts w:ascii="Cambria Math" w:eastAsia="DengXian" w:hAnsi="Cambria Math"/>
                                <w:iCs/>
                                <w:color w:val="auto"/>
                              </w:rPr>
                            </m:ctrlPr>
                          </m:fPr>
                          <m:num>
                            <m:r>
                              <w:rPr>
                                <w:rFonts w:ascii="Cambria Math" w:eastAsia="DengXian" w:hAnsi="Cambria Math"/>
                                <w:color w:val="auto"/>
                              </w:rPr>
                              <m:t>A</m:t>
                            </m:r>
                          </m:num>
                          <m:den>
                            <m:sSub>
                              <m:sSubPr>
                                <m:ctrlPr>
                                  <w:rPr>
                                    <w:rFonts w:ascii="Cambria Math" w:eastAsia="DengXian" w:hAnsi="Cambria Math"/>
                                    <w:iCs/>
                                    <w:color w:val="auto"/>
                                  </w:rPr>
                                </m:ctrlPr>
                              </m:sSubPr>
                              <m:e>
                                <m:r>
                                  <w:rPr>
                                    <w:rFonts w:ascii="Cambria Math" w:eastAsia="DengXian" w:hAnsi="Cambria Math"/>
                                    <w:color w:val="auto"/>
                                  </w:rPr>
                                  <m:t>c</m:t>
                                </m:r>
                              </m:e>
                              <m:sub>
                                <m:r>
                                  <m:rPr>
                                    <m:sty m:val="p"/>
                                  </m:rPr>
                                  <w:rPr>
                                    <w:rFonts w:ascii="Cambria Math" w:eastAsia="DengXian" w:hAnsi="Cambria Math"/>
                                    <w:color w:val="auto"/>
                                  </w:rPr>
                                  <m:t>2</m:t>
                                </m:r>
                              </m:sub>
                            </m:sSub>
                          </m:den>
                        </m:f>
                        <m:d>
                          <m:dPr>
                            <m:begChr m:val="["/>
                            <m:endChr m:val="]"/>
                            <m:ctrlPr>
                              <w:rPr>
                                <w:rFonts w:ascii="Cambria Math" w:eastAsia="DengXian" w:hAnsi="Cambria Math"/>
                                <w:iCs/>
                                <w:color w:val="auto"/>
                              </w:rPr>
                            </m:ctrlPr>
                          </m:dPr>
                          <m:e>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s</m:t>
                                </m:r>
                              </m:sup>
                            </m:sSubSup>
                            <m:r>
                              <m:rPr>
                                <m:sty m:val="p"/>
                              </m:rPr>
                              <w:rPr>
                                <w:rFonts w:ascii="Cambria Math" w:eastAsia="DengXian" w:hAnsi="Cambria Math"/>
                                <w:color w:val="auto"/>
                              </w:rPr>
                              <m:t>+</m:t>
                            </m:r>
                            <m:f>
                              <m:fPr>
                                <m:ctrlPr>
                                  <w:rPr>
                                    <w:rFonts w:ascii="Cambria Math" w:eastAsia="DengXian" w:hAnsi="Cambria Math"/>
                                    <w:iCs/>
                                    <w:color w:val="auto"/>
                                  </w:rPr>
                                </m:ctrlPr>
                              </m:fPr>
                              <m:num>
                                <m:rad>
                                  <m:radPr>
                                    <m:degHide m:val="1"/>
                                    <m:ctrlPr>
                                      <w:rPr>
                                        <w:rFonts w:ascii="Cambria Math" w:eastAsia="DengXian" w:hAnsi="Cambria Math"/>
                                        <w:iCs/>
                                        <w:color w:val="auto"/>
                                      </w:rPr>
                                    </m:ctrlPr>
                                  </m:radPr>
                                  <m:deg/>
                                  <m:e>
                                    <m:r>
                                      <m:rPr>
                                        <m:sty m:val="p"/>
                                      </m:rPr>
                                      <w:rPr>
                                        <w:rFonts w:ascii="Cambria Math" w:eastAsia="DengXian" w:hAnsi="Cambria Math"/>
                                        <w:color w:val="auto"/>
                                      </w:rPr>
                                      <m:t>3</m:t>
                                    </m:r>
                                  </m:e>
                                </m:rad>
                              </m:num>
                              <m:den>
                                <m:r>
                                  <m:rPr>
                                    <m:sty m:val="p"/>
                                  </m:rPr>
                                  <w:rPr>
                                    <w:rFonts w:ascii="Cambria Math" w:eastAsia="DengXian" w:hAnsi="Cambria Math"/>
                                    <w:color w:val="auto"/>
                                  </w:rPr>
                                  <m:t>2-</m:t>
                                </m:r>
                                <m:rad>
                                  <m:radPr>
                                    <m:degHide m:val="1"/>
                                    <m:ctrlPr>
                                      <w:rPr>
                                        <w:rFonts w:ascii="Cambria Math" w:eastAsia="DengXian" w:hAnsi="Cambria Math"/>
                                        <w:iCs/>
                                        <w:color w:val="auto"/>
                                      </w:rPr>
                                    </m:ctrlPr>
                                  </m:radPr>
                                  <m:deg/>
                                  <m:e>
                                    <m:r>
                                      <m:rPr>
                                        <m:sty m:val="p"/>
                                      </m:rPr>
                                      <w:rPr>
                                        <w:rFonts w:ascii="Cambria Math" w:eastAsia="DengXian" w:hAnsi="Cambria Math"/>
                                        <w:color w:val="auto"/>
                                      </w:rPr>
                                      <m:t>3</m:t>
                                    </m:r>
                                  </m:e>
                                </m:rad>
                              </m:den>
                            </m:f>
                            <m:d>
                              <m:dPr>
                                <m:ctrlPr>
                                  <w:rPr>
                                    <w:rFonts w:ascii="Cambria Math" w:eastAsia="DengXian" w:hAnsi="Cambria Math"/>
                                    <w:iCs/>
                                    <w:color w:val="auto"/>
                                  </w:rPr>
                                </m:ctrlPr>
                              </m:dPr>
                              <m:e>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ax</m:t>
                                    </m:r>
                                  </m:sup>
                                </m:sSubSup>
                                <m:r>
                                  <m:rPr>
                                    <m:sty m:val="p"/>
                                  </m:rPr>
                                  <w:rPr>
                                    <w:rFonts w:ascii="Cambria Math" w:eastAsia="DengXian" w:hAnsi="Cambria Math"/>
                                    <w:color w:val="auto"/>
                                  </w:rPr>
                                  <m:t>-</m:t>
                                </m:r>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s</m:t>
                                    </m:r>
                                  </m:sup>
                                </m:sSubSup>
                              </m:e>
                            </m:d>
                            <m:d>
                              <m:dPr>
                                <m:ctrlPr>
                                  <w:rPr>
                                    <w:rFonts w:ascii="Cambria Math" w:eastAsia="DengXian" w:hAnsi="Cambria Math"/>
                                    <w:iCs/>
                                    <w:color w:val="auto"/>
                                  </w:rPr>
                                </m:ctrlPr>
                              </m:dPr>
                              <m:e>
                                <m:func>
                                  <m:funcPr>
                                    <m:ctrlPr>
                                      <w:rPr>
                                        <w:rFonts w:ascii="Cambria Math" w:eastAsia="DengXian" w:hAnsi="Cambria Math"/>
                                        <w:iCs/>
                                        <w:color w:val="auto"/>
                                      </w:rPr>
                                    </m:ctrlPr>
                                  </m:funcPr>
                                  <m:fName>
                                    <m:r>
                                      <w:rPr>
                                        <w:rFonts w:ascii="Cambria Math" w:eastAsia="DengXian" w:hAnsi="Cambria Math"/>
                                        <w:color w:val="auto"/>
                                      </w:rPr>
                                      <m:t>sec</m:t>
                                    </m:r>
                                  </m:fName>
                                  <m:e>
                                    <m:d>
                                      <m:dPr>
                                        <m:ctrlPr>
                                          <w:rPr>
                                            <w:rFonts w:ascii="Cambria Math" w:eastAsia="DengXian" w:hAnsi="Cambria Math"/>
                                            <w:iCs/>
                                            <w:color w:val="auto"/>
                                          </w:rPr>
                                        </m:ctrlPr>
                                      </m:dPr>
                                      <m:e>
                                        <m:f>
                                          <m:fPr>
                                            <m:ctrlPr>
                                              <w:rPr>
                                                <w:rFonts w:ascii="Cambria Math" w:eastAsia="DengXian" w:hAnsi="Cambria Math"/>
                                                <w:iCs/>
                                                <w:color w:val="auto"/>
                                              </w:rPr>
                                            </m:ctrlPr>
                                          </m:fPr>
                                          <m:num>
                                            <m:acc>
                                              <m:accPr>
                                                <m:chr m:val="̅"/>
                                                <m:ctrlPr>
                                                  <w:rPr>
                                                    <w:rFonts w:ascii="Cambria Math" w:eastAsia="DengXian" w:hAnsi="Cambria Math"/>
                                                    <w:iCs/>
                                                    <w:color w:val="auto"/>
                                                  </w:rPr>
                                                </m:ctrlPr>
                                              </m:accPr>
                                              <m:e>
                                                <m:r>
                                                  <w:rPr>
                                                    <w:rFonts w:ascii="Cambria Math" w:eastAsia="DengXian" w:hAnsi="Cambria Math"/>
                                                    <w:color w:val="auto"/>
                                                  </w:rPr>
                                                  <m:t>θ</m:t>
                                                </m:r>
                                              </m:e>
                                            </m:acc>
                                            <m:r>
                                              <w:rPr>
                                                <w:rFonts w:ascii="Cambria Math" w:eastAsia="DengXian" w:hAnsi="Cambria Math"/>
                                                <w:color w:val="auto"/>
                                              </w:rPr>
                                              <m:t>π</m:t>
                                            </m:r>
                                          </m:num>
                                          <m:den>
                                            <m:r>
                                              <m:rPr>
                                                <m:sty m:val="p"/>
                                              </m:rPr>
                                              <w:rPr>
                                                <w:rFonts w:ascii="Cambria Math" w:eastAsia="DengXian" w:hAnsi="Cambria Math"/>
                                                <w:color w:val="auto"/>
                                              </w:rPr>
                                              <m:t>6</m:t>
                                            </m:r>
                                          </m:den>
                                        </m:f>
                                      </m:e>
                                    </m:d>
                                  </m:e>
                                </m:func>
                                <m:r>
                                  <m:rPr>
                                    <m:sty m:val="p"/>
                                  </m:rPr>
                                  <w:rPr>
                                    <w:rFonts w:ascii="Cambria Math" w:eastAsia="DengXian" w:hAnsi="Cambria Math"/>
                                    <w:color w:val="auto"/>
                                  </w:rPr>
                                  <m:t>-1</m:t>
                                </m:r>
                              </m:e>
                            </m:d>
                          </m:e>
                        </m:d>
                        <m:d>
                          <m:dPr>
                            <m:begChr m:val="["/>
                            <m:endChr m:val="]"/>
                            <m:ctrlPr>
                              <w:rPr>
                                <w:rFonts w:ascii="Cambria Math" w:eastAsia="DengXian" w:hAnsi="Cambria Math"/>
                                <w:iCs/>
                                <w:color w:val="auto"/>
                              </w:rPr>
                            </m:ctrlPr>
                          </m:dPr>
                          <m:e>
                            <m:rad>
                              <m:radPr>
                                <m:degHide m:val="1"/>
                                <m:ctrlPr>
                                  <w:rPr>
                                    <w:rFonts w:ascii="Cambria Math" w:eastAsia="DengXian" w:hAnsi="Cambria Math"/>
                                    <w:iCs/>
                                    <w:color w:val="auto"/>
                                  </w:rPr>
                                </m:ctrlPr>
                              </m:radPr>
                              <m:deg/>
                              <m:e>
                                <m:f>
                                  <m:fPr>
                                    <m:ctrlPr>
                                      <w:rPr>
                                        <w:rFonts w:ascii="Cambria Math" w:eastAsia="DengXian" w:hAnsi="Cambria Math"/>
                                        <w:iCs/>
                                        <w:color w:val="auto"/>
                                      </w:rPr>
                                    </m:ctrlPr>
                                  </m:fPr>
                                  <m:num>
                                    <m:r>
                                      <m:rPr>
                                        <m:sty m:val="p"/>
                                      </m:rPr>
                                      <w:rPr>
                                        <w:rFonts w:ascii="Cambria Math" w:eastAsia="DengXian" w:hAnsi="Cambria Math"/>
                                        <w:color w:val="auto"/>
                                      </w:rPr>
                                      <m:t>1+</m:t>
                                    </m:r>
                                    <m:sSubSup>
                                      <m:sSubSupPr>
                                        <m:ctrlPr>
                                          <w:rPr>
                                            <w:rFonts w:ascii="Cambria Math" w:eastAsia="DengXian" w:hAnsi="Cambria Math"/>
                                            <w:iCs/>
                                            <w:color w:val="auto"/>
                                          </w:rPr>
                                        </m:ctrlPr>
                                      </m:sSubSupPr>
                                      <m:e>
                                        <m:r>
                                          <w:rPr>
                                            <w:rFonts w:ascii="Cambria Math" w:eastAsia="DengXian" w:hAnsi="Cambria Math"/>
                                            <w:color w:val="auto"/>
                                          </w:rPr>
                                          <m:t>c</m:t>
                                        </m:r>
                                      </m:e>
                                      <m:sub>
                                        <m:r>
                                          <m:rPr>
                                            <m:sty m:val="p"/>
                                          </m:rPr>
                                          <w:rPr>
                                            <w:rFonts w:ascii="Cambria Math" w:eastAsia="DengXian" w:hAnsi="Cambria Math"/>
                                            <w:color w:val="auto"/>
                                          </w:rPr>
                                          <m:t>1</m:t>
                                        </m:r>
                                      </m:sub>
                                      <m:sup>
                                        <m:r>
                                          <m:rPr>
                                            <m:sty m:val="p"/>
                                          </m:rPr>
                                          <w:rPr>
                                            <w:rFonts w:ascii="Cambria Math" w:eastAsia="DengXian" w:hAnsi="Cambria Math"/>
                                            <w:color w:val="auto"/>
                                          </w:rPr>
                                          <m:t>2</m:t>
                                        </m:r>
                                      </m:sup>
                                    </m:sSubSup>
                                  </m:num>
                                  <m:den>
                                    <m:r>
                                      <m:rPr>
                                        <m:sty m:val="p"/>
                                      </m:rPr>
                                      <w:rPr>
                                        <w:rFonts w:ascii="Cambria Math" w:eastAsia="DengXian" w:hAnsi="Cambria Math"/>
                                        <w:color w:val="auto"/>
                                      </w:rPr>
                                      <m:t>3</m:t>
                                    </m:r>
                                  </m:den>
                                </m:f>
                              </m:e>
                            </m:rad>
                            <m:func>
                              <m:funcPr>
                                <m:ctrlPr>
                                  <w:rPr>
                                    <w:rFonts w:ascii="Cambria Math" w:eastAsia="DengXian" w:hAnsi="Cambria Math"/>
                                    <w:iCs/>
                                    <w:color w:val="auto"/>
                                  </w:rPr>
                                </m:ctrlPr>
                              </m:funcPr>
                              <m:fName>
                                <m:r>
                                  <w:rPr>
                                    <w:rFonts w:ascii="Cambria Math" w:eastAsia="DengXian" w:hAnsi="Cambria Math"/>
                                    <w:color w:val="auto"/>
                                  </w:rPr>
                                  <m:t>cos</m:t>
                                </m:r>
                              </m:fName>
                              <m:e>
                                <m:d>
                                  <m:dPr>
                                    <m:ctrlPr>
                                      <w:rPr>
                                        <w:rFonts w:ascii="Cambria Math" w:eastAsia="DengXian" w:hAnsi="Cambria Math"/>
                                        <w:iCs/>
                                        <w:color w:val="auto"/>
                                      </w:rPr>
                                    </m:ctrlPr>
                                  </m:dPr>
                                  <m:e>
                                    <m:f>
                                      <m:fPr>
                                        <m:ctrlPr>
                                          <w:rPr>
                                            <w:rFonts w:ascii="Cambria Math" w:eastAsia="DengXian" w:hAnsi="Cambria Math"/>
                                            <w:iCs/>
                                            <w:color w:val="auto"/>
                                          </w:rPr>
                                        </m:ctrlPr>
                                      </m:fPr>
                                      <m:num>
                                        <m:acc>
                                          <m:accPr>
                                            <m:chr m:val="̅"/>
                                            <m:ctrlPr>
                                              <w:rPr>
                                                <w:rFonts w:ascii="Cambria Math" w:eastAsia="DengXian" w:hAnsi="Cambria Math"/>
                                                <w:iCs/>
                                                <w:color w:val="auto"/>
                                              </w:rPr>
                                            </m:ctrlPr>
                                          </m:accPr>
                                          <m:e>
                                            <m:r>
                                              <w:rPr>
                                                <w:rFonts w:ascii="Cambria Math" w:eastAsia="DengXian" w:hAnsi="Cambria Math"/>
                                                <w:color w:val="auto"/>
                                              </w:rPr>
                                              <m:t>θ</m:t>
                                            </m:r>
                                          </m:e>
                                        </m:acc>
                                        <m:r>
                                          <w:rPr>
                                            <w:rFonts w:ascii="Cambria Math" w:eastAsia="DengXian" w:hAnsi="Cambria Math"/>
                                            <w:color w:val="auto"/>
                                          </w:rPr>
                                          <m:t>π</m:t>
                                        </m:r>
                                      </m:num>
                                      <m:den>
                                        <m:r>
                                          <m:rPr>
                                            <m:sty m:val="p"/>
                                          </m:rPr>
                                          <w:rPr>
                                            <w:rFonts w:ascii="Cambria Math" w:eastAsia="DengXian" w:hAnsi="Cambria Math"/>
                                            <w:color w:val="auto"/>
                                          </w:rPr>
                                          <m:t>6</m:t>
                                        </m:r>
                                      </m:den>
                                    </m:f>
                                  </m:e>
                                </m:d>
                              </m:e>
                            </m:func>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c</m:t>
                                </m:r>
                              </m:e>
                              <m:sub>
                                <m:r>
                                  <m:rPr>
                                    <m:sty m:val="p"/>
                                  </m:rPr>
                                  <w:rPr>
                                    <w:rFonts w:ascii="Cambria Math" w:eastAsia="DengXian" w:hAnsi="Cambria Math"/>
                                    <w:color w:val="auto"/>
                                  </w:rPr>
                                  <m:t>1</m:t>
                                </m:r>
                              </m:sub>
                            </m:sSub>
                            <m:d>
                              <m:dPr>
                                <m:ctrlPr>
                                  <w:rPr>
                                    <w:rFonts w:ascii="Cambria Math" w:eastAsia="DengXian" w:hAnsi="Cambria Math"/>
                                    <w:iCs/>
                                    <w:color w:val="auto"/>
                                  </w:rPr>
                                </m:ctrlPr>
                              </m:dPr>
                              <m:e>
                                <m:r>
                                  <w:rPr>
                                    <w:rFonts w:ascii="Cambria Math" w:eastAsia="DengXian" w:hAnsi="Cambria Math"/>
                                    <w:color w:val="auto"/>
                                  </w:rPr>
                                  <m:t>η</m:t>
                                </m:r>
                                <m:r>
                                  <m:rPr>
                                    <m:sty m:val="p"/>
                                  </m:rPr>
                                  <w:rPr>
                                    <w:rFonts w:ascii="Cambria Math" w:eastAsia="DengXian" w:hAnsi="Cambria Math"/>
                                    <w:color w:val="auto"/>
                                  </w:rPr>
                                  <m:t>+</m:t>
                                </m:r>
                                <m:f>
                                  <m:fPr>
                                    <m:ctrlPr>
                                      <w:rPr>
                                        <w:rFonts w:ascii="Cambria Math" w:eastAsia="DengXian" w:hAnsi="Cambria Math"/>
                                        <w:iCs/>
                                        <w:color w:val="auto"/>
                                      </w:rPr>
                                    </m:ctrlPr>
                                  </m:fPr>
                                  <m:num>
                                    <m:r>
                                      <m:rPr>
                                        <m:sty m:val="p"/>
                                      </m:rPr>
                                      <w:rPr>
                                        <w:rFonts w:ascii="Cambria Math" w:eastAsia="DengXian" w:hAnsi="Cambria Math"/>
                                        <w:color w:val="auto"/>
                                      </w:rPr>
                                      <m:t>1</m:t>
                                    </m:r>
                                  </m:num>
                                  <m:den>
                                    <m:r>
                                      <m:rPr>
                                        <m:sty m:val="p"/>
                                      </m:rPr>
                                      <w:rPr>
                                        <w:rFonts w:ascii="Cambria Math" w:eastAsia="DengXian" w:hAnsi="Cambria Math"/>
                                        <w:color w:val="auto"/>
                                      </w:rPr>
                                      <m:t>3</m:t>
                                    </m:r>
                                  </m:den>
                                </m:f>
                                <m:func>
                                  <m:funcPr>
                                    <m:ctrlPr>
                                      <w:rPr>
                                        <w:rFonts w:ascii="Cambria Math" w:eastAsia="DengXian" w:hAnsi="Cambria Math"/>
                                        <w:iCs/>
                                        <w:color w:val="auto"/>
                                      </w:rPr>
                                    </m:ctrlPr>
                                  </m:funcPr>
                                  <m:fName>
                                    <m:r>
                                      <w:rPr>
                                        <w:rFonts w:ascii="Cambria Math" w:eastAsia="DengXian" w:hAnsi="Cambria Math"/>
                                        <w:color w:val="auto"/>
                                      </w:rPr>
                                      <m:t>sin</m:t>
                                    </m:r>
                                  </m:fName>
                                  <m:e>
                                    <m:d>
                                      <m:dPr>
                                        <m:ctrlPr>
                                          <w:rPr>
                                            <w:rFonts w:ascii="Cambria Math" w:eastAsia="DengXian" w:hAnsi="Cambria Math"/>
                                            <w:iCs/>
                                            <w:color w:val="auto"/>
                                          </w:rPr>
                                        </m:ctrlPr>
                                      </m:dPr>
                                      <m:e>
                                        <m:f>
                                          <m:fPr>
                                            <m:ctrlPr>
                                              <w:rPr>
                                                <w:rFonts w:ascii="Cambria Math" w:eastAsia="DengXian" w:hAnsi="Cambria Math"/>
                                                <w:iCs/>
                                                <w:color w:val="auto"/>
                                              </w:rPr>
                                            </m:ctrlPr>
                                          </m:fPr>
                                          <m:num>
                                            <m:acc>
                                              <m:accPr>
                                                <m:chr m:val="̅"/>
                                                <m:ctrlPr>
                                                  <w:rPr>
                                                    <w:rFonts w:ascii="Cambria Math" w:eastAsia="DengXian" w:hAnsi="Cambria Math"/>
                                                    <w:iCs/>
                                                    <w:color w:val="auto"/>
                                                  </w:rPr>
                                                </m:ctrlPr>
                                              </m:accPr>
                                              <m:e>
                                                <m:r>
                                                  <w:rPr>
                                                    <w:rFonts w:ascii="Cambria Math" w:eastAsia="DengXian" w:hAnsi="Cambria Math"/>
                                                    <w:color w:val="auto"/>
                                                  </w:rPr>
                                                  <m:t>θ</m:t>
                                                </m:r>
                                              </m:e>
                                            </m:acc>
                                            <m:r>
                                              <w:rPr>
                                                <w:rFonts w:ascii="Cambria Math" w:eastAsia="DengXian" w:hAnsi="Cambria Math"/>
                                                <w:color w:val="auto"/>
                                              </w:rPr>
                                              <m:t>π</m:t>
                                            </m:r>
                                          </m:num>
                                          <m:den>
                                            <m:r>
                                              <m:rPr>
                                                <m:sty m:val="p"/>
                                              </m:rPr>
                                              <w:rPr>
                                                <w:rFonts w:ascii="Cambria Math" w:eastAsia="DengXian" w:hAnsi="Cambria Math"/>
                                                <w:color w:val="auto"/>
                                              </w:rPr>
                                              <m:t>6</m:t>
                                            </m:r>
                                          </m:den>
                                        </m:f>
                                      </m:e>
                                    </m:d>
                                  </m:e>
                                </m:func>
                              </m:e>
                            </m:d>
                          </m:e>
                        </m:d>
                      </m:e>
                    </m:d>
                  </m:e>
                  <m:sup>
                    <m:r>
                      <m:rPr>
                        <m:sty m:val="p"/>
                      </m:rPr>
                      <w:rPr>
                        <w:rFonts w:ascii="Cambria Math" w:eastAsia="DengXian" w:hAnsi="Cambria Math"/>
                        <w:color w:val="auto"/>
                      </w:rPr>
                      <m:t>-</m:t>
                    </m:r>
                    <m:f>
                      <m:fPr>
                        <m:ctrlPr>
                          <w:rPr>
                            <w:rFonts w:ascii="Cambria Math" w:eastAsia="DengXian" w:hAnsi="Cambria Math"/>
                            <w:iCs/>
                            <w:color w:val="auto"/>
                          </w:rPr>
                        </m:ctrlPr>
                      </m:fPr>
                      <m:num>
                        <m:r>
                          <m:rPr>
                            <m:sty m:val="p"/>
                          </m:rPr>
                          <w:rPr>
                            <w:rFonts w:ascii="Cambria Math" w:eastAsia="DengXian" w:hAnsi="Cambria Math"/>
                            <w:color w:val="auto"/>
                          </w:rPr>
                          <m:t>1</m:t>
                        </m:r>
                      </m:num>
                      <m:den>
                        <m:r>
                          <w:rPr>
                            <w:rFonts w:ascii="Cambria Math" w:eastAsia="DengXian" w:hAnsi="Cambria Math"/>
                            <w:color w:val="auto"/>
                          </w:rPr>
                          <m:t>n</m:t>
                        </m:r>
                      </m:den>
                    </m:f>
                  </m:sup>
                </m:sSup>
              </m:oMath>
            </m:oMathPara>
          </w:p>
        </w:tc>
        <w:tc>
          <w:tcPr>
            <w:tcW w:w="430" w:type="dxa"/>
            <w:shd w:val="clear" w:color="auto" w:fill="auto"/>
            <w:vAlign w:val="center"/>
          </w:tcPr>
          <w:p w14:paraId="24981D8E" w14:textId="764D9DEF"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9</w:t>
            </w:r>
            <w:r w:rsidRPr="00690745">
              <w:rPr>
                <w:rFonts w:eastAsia="DengXian"/>
                <w:iCs/>
                <w:color w:val="auto"/>
              </w:rPr>
              <w:fldChar w:fldCharType="end"/>
            </w:r>
            <w:r w:rsidRPr="00690745">
              <w:rPr>
                <w:rFonts w:eastAsia="DengXian"/>
                <w:iCs/>
                <w:color w:val="auto"/>
              </w:rPr>
              <w:t>)</w:t>
            </w:r>
          </w:p>
        </w:tc>
      </w:tr>
    </w:tbl>
    <w:p w14:paraId="3318AB15" w14:textId="568E27D8" w:rsidR="00257B12" w:rsidRPr="00690745" w:rsidRDefault="00383D7F" w:rsidP="000676A0">
      <w:pPr>
        <w:pStyle w:val="MDPI32textnoindent"/>
        <w:rPr>
          <w:rFonts w:eastAsia="DengXian"/>
          <w:color w:val="auto"/>
        </w:rPr>
      </w:pPr>
      <w:r>
        <w:rPr>
          <w:rFonts w:eastAsia="DengXian"/>
          <w:color w:val="auto"/>
        </w:rPr>
        <w:t>w</w:t>
      </w:r>
      <w:r w:rsidRPr="00690745">
        <w:rPr>
          <w:rFonts w:eastAsia="DengXian"/>
          <w:color w:val="auto"/>
        </w:rPr>
        <w:t>ith</w:t>
      </w:r>
      <w:r>
        <w:rPr>
          <w:rFonts w:eastAsia="DengXian"/>
          <w:color w:val="auto"/>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0E178586" w14:textId="77777777" w:rsidTr="0017359C">
        <w:trPr>
          <w:trHeight w:val="340"/>
        </w:trPr>
        <w:tc>
          <w:tcPr>
            <w:tcW w:w="7426" w:type="dxa"/>
            <w:shd w:val="clear" w:color="auto" w:fill="auto"/>
            <w:vAlign w:val="center"/>
          </w:tcPr>
          <w:p w14:paraId="54680AFC"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ax</m:t>
                  </m:r>
                </m:sup>
              </m:sSubSup>
              <m:r>
                <m:rPr>
                  <m:sty m:val="p"/>
                </m:rPr>
                <w:rPr>
                  <w:rFonts w:ascii="Cambria Math" w:eastAsia="DengXian" w:hAnsi="Cambria Math"/>
                  <w:color w:val="auto"/>
                </w:rPr>
                <m:t xml:space="preserve">= </m:t>
              </m:r>
              <m:d>
                <m:dPr>
                  <m:begChr m:val="{"/>
                  <m:endChr m:val=""/>
                  <m:ctrlPr>
                    <w:rPr>
                      <w:rFonts w:ascii="Cambria Math" w:eastAsia="DengXian" w:hAnsi="Cambria Math"/>
                      <w:iCs/>
                      <w:color w:val="auto"/>
                    </w:rPr>
                  </m:ctrlPr>
                </m:dPr>
                <m:e>
                  <m:eqArr>
                    <m:eqArrPr>
                      <m:ctrlPr>
                        <w:rPr>
                          <w:rFonts w:ascii="Cambria Math" w:eastAsia="DengXian" w:hAnsi="Cambria Math"/>
                          <w:iCs/>
                          <w:color w:val="auto"/>
                        </w:rPr>
                      </m:ctrlPr>
                    </m:eqArrPr>
                    <m:e>
                      <m:r>
                        <m:rPr>
                          <m:sty m:val="p"/>
                        </m:rPr>
                        <w:rPr>
                          <w:rFonts w:ascii="Cambria Math" w:eastAsia="DengXian" w:hAnsi="Cambria Math"/>
                          <w:color w:val="auto"/>
                        </w:rPr>
                        <m:t xml:space="preserve">1   </m:t>
                      </m:r>
                      <m:acc>
                        <m:accPr>
                          <m:chr m:val="̅"/>
                          <m:ctrlPr>
                            <w:rPr>
                              <w:rFonts w:ascii="Cambria Math" w:eastAsia="DengXian" w:hAnsi="Cambria Math"/>
                              <w:iCs/>
                              <w:color w:val="auto"/>
                            </w:rPr>
                          </m:ctrlPr>
                        </m:accPr>
                        <m:e>
                          <m:r>
                            <w:rPr>
                              <w:rFonts w:ascii="Cambria Math" w:eastAsia="DengXian" w:hAnsi="Cambria Math"/>
                              <w:color w:val="auto"/>
                            </w:rPr>
                            <m:t>θ</m:t>
                          </m:r>
                        </m:e>
                      </m:acc>
                      <m:r>
                        <m:rPr>
                          <m:sty m:val="p"/>
                        </m:rPr>
                        <w:rPr>
                          <w:rFonts w:ascii="Cambria Math" w:eastAsia="DengXian" w:hAnsi="Cambria Math"/>
                          <w:color w:val="auto"/>
                        </w:rPr>
                        <m:t>≥0</m:t>
                      </m:r>
                    </m:e>
                    <m:e>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c</m:t>
                          </m:r>
                        </m:sup>
                      </m:sSubSup>
                      <m:r>
                        <m:rPr>
                          <m:sty m:val="p"/>
                        </m:rPr>
                        <w:rPr>
                          <w:rFonts w:ascii="Cambria Math" w:eastAsia="DengXian" w:hAnsi="Cambria Math"/>
                          <w:color w:val="auto"/>
                        </w:rPr>
                        <m:t xml:space="preserve">  </m:t>
                      </m:r>
                      <m:acc>
                        <m:accPr>
                          <m:chr m:val="̅"/>
                          <m:ctrlPr>
                            <w:rPr>
                              <w:rFonts w:ascii="Cambria Math" w:eastAsia="DengXian" w:hAnsi="Cambria Math"/>
                              <w:iCs/>
                              <w:color w:val="auto"/>
                            </w:rPr>
                          </m:ctrlPr>
                        </m:accPr>
                        <m:e>
                          <m:r>
                            <w:rPr>
                              <w:rFonts w:ascii="Cambria Math" w:eastAsia="DengXian" w:hAnsi="Cambria Math"/>
                              <w:color w:val="auto"/>
                            </w:rPr>
                            <m:t>θ</m:t>
                          </m:r>
                        </m:e>
                      </m:acc>
                      <m:r>
                        <m:rPr>
                          <m:sty m:val="p"/>
                        </m:rPr>
                        <w:rPr>
                          <w:rFonts w:ascii="Cambria Math" w:eastAsia="DengXian" w:hAnsi="Cambria Math"/>
                          <w:color w:val="auto"/>
                        </w:rPr>
                        <m:t>&lt;0</m:t>
                      </m:r>
                    </m:e>
                  </m:eqArr>
                  <m:r>
                    <m:rPr>
                      <m:sty m:val="p"/>
                    </m:rPr>
                    <w:rPr>
                      <w:rFonts w:ascii="Cambria Math" w:eastAsia="DengXian" w:hAnsi="Cambria Math"/>
                      <w:color w:val="auto"/>
                    </w:rPr>
                    <m:t xml:space="preserve">  </m:t>
                  </m:r>
                </m:e>
              </m:d>
              <m:r>
                <m:rPr>
                  <m:sty m:val="p"/>
                </m:rPr>
                <w:rPr>
                  <w:rFonts w:ascii="Cambria Math" w:eastAsia="DengXian" w:hAnsi="Cambria Math"/>
                  <w:color w:val="auto"/>
                </w:rPr>
                <m:t xml:space="preserve"> </m:t>
              </m:r>
            </m:oMath>
            <w:r w:rsidR="00257B12" w:rsidRPr="00690745">
              <w:rPr>
                <w:rFonts w:eastAsia="DengXian"/>
                <w:iCs/>
                <w:color w:val="auto"/>
              </w:rPr>
              <w:t>.</w:t>
            </w:r>
          </w:p>
        </w:tc>
        <w:tc>
          <w:tcPr>
            <w:tcW w:w="430" w:type="dxa"/>
            <w:shd w:val="clear" w:color="auto" w:fill="auto"/>
            <w:vAlign w:val="center"/>
          </w:tcPr>
          <w:p w14:paraId="367A54E4" w14:textId="5856BA95"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10</w:t>
            </w:r>
            <w:r w:rsidRPr="00690745">
              <w:rPr>
                <w:rFonts w:eastAsia="DengXian"/>
                <w:iCs/>
                <w:color w:val="auto"/>
              </w:rPr>
              <w:fldChar w:fldCharType="end"/>
            </w:r>
            <w:r w:rsidRPr="00690745">
              <w:rPr>
                <w:rFonts w:eastAsia="DengXian"/>
                <w:iCs/>
                <w:color w:val="auto"/>
              </w:rPr>
              <w:t>)</w:t>
            </w:r>
          </w:p>
        </w:tc>
      </w:tr>
    </w:tbl>
    <w:p w14:paraId="376A1F3A" w14:textId="269B64BC" w:rsidR="00257B12" w:rsidRPr="00E605D4" w:rsidRDefault="00257B12" w:rsidP="000676A0">
      <w:pPr>
        <w:pStyle w:val="MDPI31text"/>
        <w:rPr>
          <w:color w:val="auto"/>
        </w:rPr>
      </w:pPr>
      <w:r w:rsidRPr="00E605D4">
        <w:rPr>
          <w:rFonts w:eastAsia="DengXian"/>
          <w:color w:val="auto"/>
        </w:rPr>
        <w:t xml:space="preserve">The parameters </w:t>
      </w:r>
      <w:r w:rsidRPr="00E605D4">
        <w:rPr>
          <w:rFonts w:eastAsia="DengXian"/>
          <w:i/>
          <w:iCs/>
          <w:color w:val="auto"/>
        </w:rPr>
        <w:t>A</w:t>
      </w:r>
      <w:r w:rsidRPr="00E605D4">
        <w:rPr>
          <w:rFonts w:eastAsia="DengXian"/>
          <w:color w:val="auto"/>
        </w:rPr>
        <w:t xml:space="preserve"> and </w:t>
      </w:r>
      <w:r w:rsidRPr="00E605D4">
        <w:rPr>
          <w:rFonts w:eastAsia="DengXian"/>
          <w:i/>
          <w:iCs/>
          <w:color w:val="auto"/>
        </w:rPr>
        <w:t>n</w:t>
      </w:r>
      <w:r w:rsidRPr="00E605D4">
        <w:rPr>
          <w:rFonts w:eastAsia="DengXian"/>
          <w:color w:val="auto"/>
        </w:rPr>
        <w:t xml:space="preserve"> are parameters from the equations used to describe the rate of strain hardening in the plasticity models given in </w:t>
      </w:r>
      <w:r w:rsidRPr="00E605D4">
        <w:rPr>
          <w:color w:val="auto"/>
        </w:rPr>
        <w:fldChar w:fldCharType="begin" w:fldLock="1"/>
      </w:r>
      <w:r w:rsidRPr="00E605D4">
        <w:rPr>
          <w:color w:val="auto"/>
        </w:rPr>
        <w:instrText>ADDIN CSL_CITATION {"citationItems":[{"id":"ITEM-1","itemData":{"DOI":"10.1016/j.msea.2018.09.077","ISSN":"09215093","PMID":"8119414","abstract":"The multiaxial yield and plastic flow behavior of Ti-6Al-4V manufactured in two orientations via laser powder bed fusion (L-PBF) additive manufacturing was investigated. The mechanical properties of L-PBF Ti-6Al-4V were evaluated under uniaxial tension, plane strain tension, pure shear, and combined tension/shear loading. The mechanical behavior was found to be stress state dependent and slightly anisotropic. A plasticity model, consisting of a Hill 1948 anisotropic yield criterion, associated flow rule, and an isotropic hardening law was calibrated and used to describe the yield and plasticity behavior of this material. Validation of the plasticity model under multiaxial stress states demonstrated that the model was able to predict the stress state dependent anisotropic plasticity behavior of this material.","author":[{"dropping-particle":"","family":"Wilson-Heid","given":"Alexander E.","non-dropping-particle":"","parse-names":false,"suffix":""},{"dropping-particle":"","family":"Qin","given":"Shipin","non-dropping-particle":"","parse-names":false,"suffix":""},{"dropping-particle":"","family":"Beese","given":"Allison M.","non-dropping-particle":"","parse-names":false,"suffix":""}],"container-title":"Materials Science and Engineering A","id":"ITEM-1","issue":"September","issued":{"date-parts":[["2018"]]},"page":"90-97","publisher":"Elsevier B.V.","title":"Anisotropic multiaxial plasticity model for laser powder bed fusion additively manufactured Ti-6Al-4V","type":"article-journal","volume":"738"},"uris":["http://www.mendeley.com/documents/?uuid=2c1f0cca-7787-4b44-8770-e4055b077fe0"]},{"id":"ITEM-2","itemData":{"DOI":"10.1016/j.actamat.2020.08.066","abstract":"Predicting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approach.","author":[{"dropping-particle":"","family":"Wilson-Heid","given":"Alexander E.","non-dropping-particle":"","parse-names":false,"suffix":""},{"dropping-particle":"","family":"Qin","given":"Shipin","non-dropping-particle":"","parse-names":false,"suffix":""},{"dropping-particle":"","family":"Beese","given":"Allison M.","non-dropping-particle":"","parse-names":false,"suffix":""}],"container-title":"Acta Materialia","id":"ITEM-2","issued":{"date-parts":[["2020"]]},"page":"1-15","title":"Multiaxial plasticity and fracture behavior of stainless steel 316L by laser powder bed fusion: Experiments and computational modeling","type":"article-journal","volume":"199"},"uris":["http://www.mendeley.com/documents/?uuid=f8b89951-f0c5-4c81-b9ab-cf2a9ff4ef45"]}],"mendeley":{"formattedCitation":"[17,19]","plainTextFormattedCitation":"[17,19]","previouslyFormattedCitation":"[16,18]"},"properties":{"noteIndex":0},"schema":"https://github.com/citation-style-language/schema/raw/master/csl-citation.json"}</w:instrText>
      </w:r>
      <w:r w:rsidRPr="00E605D4">
        <w:rPr>
          <w:color w:val="auto"/>
        </w:rPr>
        <w:fldChar w:fldCharType="separate"/>
      </w:r>
      <w:r w:rsidRPr="00E605D4">
        <w:rPr>
          <w:noProof/>
          <w:color w:val="auto"/>
        </w:rPr>
        <w:t>[17,19]</w:t>
      </w:r>
      <w:r w:rsidRPr="00E605D4">
        <w:rPr>
          <w:color w:val="auto"/>
        </w:rPr>
        <w:fldChar w:fldCharType="end"/>
      </w:r>
      <w:r w:rsidRPr="00E605D4">
        <w:rPr>
          <w:color w:val="auto"/>
        </w:rPr>
        <w:t xml:space="preserve">, and these values were held constant for each pore size, while </w:t>
      </w:r>
      <m:oMath>
        <m:sSub>
          <m:sSubPr>
            <m:ctrlPr>
              <w:rPr>
                <w:rFonts w:ascii="Cambria Math" w:eastAsia="DengXian" w:hAnsi="Cambria Math"/>
                <w:i/>
                <w:iCs/>
                <w:color w:val="auto"/>
              </w:rPr>
            </m:ctrlPr>
          </m:sSubPr>
          <m:e>
            <m:r>
              <w:rPr>
                <w:rFonts w:ascii="Cambria Math" w:eastAsia="DengXian" w:hAnsi="Cambria Math"/>
                <w:color w:val="auto"/>
              </w:rPr>
              <m:t>c</m:t>
            </m:r>
          </m:e>
          <m:sub>
            <m:r>
              <w:rPr>
                <w:rFonts w:ascii="Cambria Math" w:eastAsia="DengXian" w:hAnsi="Cambria Math"/>
                <w:color w:val="auto"/>
              </w:rPr>
              <m:t>1</m:t>
            </m:r>
          </m:sub>
        </m:sSub>
      </m:oMath>
      <w:r w:rsidRPr="00E605D4">
        <w:rPr>
          <w:rFonts w:eastAsia="DengXian"/>
          <w:iCs/>
          <w:color w:val="auto"/>
        </w:rPr>
        <w:t xml:space="preserve">, </w:t>
      </w:r>
      <m:oMath>
        <m:sSub>
          <m:sSubPr>
            <m:ctrlPr>
              <w:rPr>
                <w:rFonts w:ascii="Cambria Math" w:eastAsia="DengXian" w:hAnsi="Cambria Math"/>
                <w:i/>
                <w:iCs/>
                <w:color w:val="auto"/>
              </w:rPr>
            </m:ctrlPr>
          </m:sSubPr>
          <m:e>
            <m:r>
              <w:rPr>
                <w:rFonts w:ascii="Cambria Math" w:eastAsia="DengXian" w:hAnsi="Cambria Math"/>
                <w:color w:val="auto"/>
              </w:rPr>
              <m:t>c</m:t>
            </m:r>
          </m:e>
          <m:sub>
            <m:r>
              <w:rPr>
                <w:rFonts w:ascii="Cambria Math" w:eastAsia="DengXian" w:hAnsi="Cambria Math"/>
                <w:color w:val="auto"/>
              </w:rPr>
              <m:t>2</m:t>
            </m:r>
          </m:sub>
        </m:sSub>
      </m:oMath>
      <w:r w:rsidRPr="00E605D4">
        <w:rPr>
          <w:rFonts w:eastAsia="DengXian"/>
          <w:iCs/>
          <w:color w:val="auto"/>
        </w:rPr>
        <w:t xml:space="preserve">, </w:t>
      </w:r>
      <m:oMath>
        <m:sSubSup>
          <m:sSubSupPr>
            <m:ctrlPr>
              <w:rPr>
                <w:rFonts w:ascii="Cambria Math" w:eastAsia="DengXian" w:hAnsi="Cambria Math"/>
                <w:i/>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s</m:t>
            </m:r>
          </m:sup>
        </m:sSubSup>
      </m:oMath>
      <w:r w:rsidRPr="00E605D4">
        <w:rPr>
          <w:rFonts w:eastAsia="DengXian"/>
          <w:iCs/>
          <w:color w:val="auto"/>
        </w:rPr>
        <w:t xml:space="preserve">, and </w:t>
      </w:r>
      <m:oMath>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c</m:t>
            </m:r>
          </m:sup>
        </m:sSubSup>
      </m:oMath>
      <w:r w:rsidRPr="00E605D4">
        <w:rPr>
          <w:rFonts w:eastAsia="DengXian"/>
          <w:iCs/>
          <w:color w:val="auto"/>
        </w:rPr>
        <w:t xml:space="preserve"> were calibrated for each pore size in the current study. The parameters </w:t>
      </w:r>
      <m:oMath>
        <m:sSub>
          <m:sSubPr>
            <m:ctrlPr>
              <w:rPr>
                <w:rFonts w:ascii="Cambria Math" w:eastAsia="DengXian" w:hAnsi="Cambria Math"/>
                <w:i/>
                <w:iCs/>
                <w:color w:val="auto"/>
              </w:rPr>
            </m:ctrlPr>
          </m:sSubPr>
          <m:e>
            <m:r>
              <w:rPr>
                <w:rFonts w:ascii="Cambria Math" w:eastAsia="DengXian" w:hAnsi="Cambria Math"/>
                <w:color w:val="auto"/>
              </w:rPr>
              <m:t>c</m:t>
            </m:r>
          </m:e>
          <m:sub>
            <m:r>
              <w:rPr>
                <w:rFonts w:ascii="Cambria Math" w:eastAsia="DengXian" w:hAnsi="Cambria Math"/>
                <w:color w:val="auto"/>
              </w:rPr>
              <m:t>1</m:t>
            </m:r>
          </m:sub>
        </m:sSub>
      </m:oMath>
      <w:r w:rsidRPr="00E605D4">
        <w:rPr>
          <w:rFonts w:eastAsia="DengXian"/>
          <w:iCs/>
          <w:color w:val="auto"/>
        </w:rPr>
        <w:t xml:space="preserve"> and </w:t>
      </w:r>
      <m:oMath>
        <m:sSub>
          <m:sSubPr>
            <m:ctrlPr>
              <w:rPr>
                <w:rFonts w:ascii="Cambria Math" w:eastAsia="DengXian" w:hAnsi="Cambria Math"/>
                <w:i/>
                <w:iCs/>
                <w:color w:val="auto"/>
              </w:rPr>
            </m:ctrlPr>
          </m:sSubPr>
          <m:e>
            <m:r>
              <w:rPr>
                <w:rFonts w:ascii="Cambria Math" w:eastAsia="DengXian" w:hAnsi="Cambria Math"/>
                <w:color w:val="auto"/>
              </w:rPr>
              <m:t>c</m:t>
            </m:r>
          </m:e>
          <m:sub>
            <m:r>
              <w:rPr>
                <w:rFonts w:ascii="Cambria Math" w:eastAsia="DengXian" w:hAnsi="Cambria Math"/>
                <w:color w:val="auto"/>
              </w:rPr>
              <m:t>2</m:t>
            </m:r>
          </m:sub>
        </m:sSub>
      </m:oMath>
      <w:r w:rsidRPr="00E605D4">
        <w:rPr>
          <w:rFonts w:eastAsia="DengXian"/>
          <w:iCs/>
          <w:color w:val="auto"/>
        </w:rPr>
        <w:t xml:space="preserve"> have the same effect as in the stress-based MC model, and </w:t>
      </w:r>
      <m:oMath>
        <m:sSubSup>
          <m:sSubSupPr>
            <m:ctrlPr>
              <w:rPr>
                <w:rFonts w:ascii="Cambria Math" w:eastAsia="DengXian" w:hAnsi="Cambria Math"/>
                <w:i/>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s</m:t>
            </m:r>
          </m:sup>
        </m:sSubSup>
      </m:oMath>
      <w:r w:rsidRPr="00E605D4">
        <w:rPr>
          <w:rFonts w:eastAsia="DengXian"/>
          <w:iCs/>
          <w:color w:val="auto"/>
        </w:rPr>
        <w:t xml:space="preserve"> and </w:t>
      </w:r>
      <m:oMath>
        <m:sSubSup>
          <m:sSubSupPr>
            <m:ctrlPr>
              <w:rPr>
                <w:rFonts w:ascii="Cambria Math" w:eastAsia="DengXian" w:hAnsi="Cambria Math"/>
                <w:iCs/>
                <w:color w:val="auto"/>
              </w:rPr>
            </m:ctrlPr>
          </m:sSubSupPr>
          <m:e>
            <m:r>
              <w:rPr>
                <w:rFonts w:ascii="Cambria Math" w:eastAsia="DengXian" w:hAnsi="Cambria Math"/>
                <w:color w:val="auto"/>
              </w:rPr>
              <m:t>c</m:t>
            </m:r>
          </m:e>
          <m:sub>
            <m:r>
              <w:rPr>
                <w:rFonts w:ascii="Cambria Math" w:eastAsia="DengXian" w:hAnsi="Cambria Math"/>
                <w:color w:val="auto"/>
              </w:rPr>
              <m:t>θ</m:t>
            </m:r>
          </m:sub>
          <m:sup>
            <m:r>
              <w:rPr>
                <w:rFonts w:ascii="Cambria Math" w:eastAsia="DengXian" w:hAnsi="Cambria Math"/>
                <w:color w:val="auto"/>
              </w:rPr>
              <m:t>c</m:t>
            </m:r>
          </m:sup>
        </m:sSubSup>
      </m:oMath>
      <w:r w:rsidRPr="00E605D4">
        <w:rPr>
          <w:rFonts w:eastAsia="DengXian"/>
          <w:iCs/>
          <w:color w:val="auto"/>
        </w:rPr>
        <w:t xml:space="preserve"> control the Lode angle parameter dependence and asymmetry, respectively, of the calibrated fracture surfaces.</w:t>
      </w:r>
    </w:p>
    <w:p w14:paraId="7D3CBAB9" w14:textId="72C72C28" w:rsidR="00257B12" w:rsidRPr="00690745" w:rsidRDefault="00257B12" w:rsidP="000676A0">
      <w:pPr>
        <w:pStyle w:val="MDPI31text"/>
        <w:rPr>
          <w:color w:val="auto"/>
        </w:rPr>
      </w:pPr>
      <w:r w:rsidRPr="00E605D4">
        <w:rPr>
          <w:color w:val="auto"/>
        </w:rPr>
        <w:t xml:space="preserve">The Hosford-Coulomb fracture criteria in equivalent plastic strain space is a phenomenological fracture model that was </w:t>
      </w:r>
      <w:r w:rsidRPr="00690745">
        <w:rPr>
          <w:color w:val="auto"/>
        </w:rPr>
        <w:t xml:space="preserve">developed on the hypothesis that the fracture initiation in a ductile metal coincides with the formation of a primary or secondary band of localization, where the moment of this localization can be described by a critical combination of the Hosford equivalent stress and the normal stress on the plane of maximum shear. </w:t>
      </w:r>
      <w:proofErr w:type="spellStart"/>
      <w:r w:rsidRPr="00690745">
        <w:rPr>
          <w:color w:val="auto"/>
        </w:rPr>
        <w:t>Marcadet</w:t>
      </w:r>
      <w:proofErr w:type="spellEnd"/>
      <w:r w:rsidRPr="00690745">
        <w:rPr>
          <w:color w:val="auto"/>
        </w:rPr>
        <w:t xml:space="preserve"> and Mohr </w:t>
      </w:r>
      <w:r w:rsidRPr="00690745">
        <w:rPr>
          <w:color w:val="auto"/>
        </w:rPr>
        <w:fldChar w:fldCharType="begin" w:fldLock="1"/>
      </w:r>
      <w:r w:rsidRPr="00690745">
        <w:rPr>
          <w:color w:val="auto"/>
        </w:rPr>
        <w:instrText>ADDIN CSL_CITATION {"citationItems":[{"id":"ITEM-1","itemData":{"DOI":"10.1016/j.ijsolstr.2015.02.024","ISBN":"0020-7683","ISSN":"00207683","abstract":"A phenomenological ductile fracture initiation model for metals is developed for predicting ductile fracture in industrial practice. Its formulation is based on the assumption that the onset of fracture is imminent with the formation of a primary or secondary band of localization. The results from a unit cell analysis on a Levy-von Mises material with spherical defects revealed that a Mohr-Coulomb type of model is suitable for predicting the onset of shear and normal localization. To improve the agreement of the model predictions with experimental results, an extended Mohr-Coulomb criterion is proposed which makes use of the Hosford equivalent stress in combination with the normal stress acting on the plane of maximum shear. A fracture initiation model is obtained by transforming the localization criterion from stress space to the space of equivalent plastic strain, stress triaxiality and Lode angle parameter using the material's isotropic hardening law. Experimental results are presented for three different advanced high strength steels. For each material, the onset of fracture is characterized for five distinct stress states including butterfly shear, notched tension, tension with a central hole and punch experiments. The comparison of model predictions with the experimental results demonstrates that the proposed Hosford-Coulomb model can predict the instant of ductile fracture initiation in advanced high strength steels with good accuracy.","author":[{"dropping-particle":"","family":"Mohr","given":"Dirk","non-dropping-particle":"","parse-names":false,"suffix":""},{"dropping-particle":"","family":"Marcadet","given":"Stephane J.","non-dropping-particle":"","parse-names":false,"suffix":""}],"container-title":"International Journal of Solids and Structures","id":"ITEM-1","issued":{"date-parts":[["2015"]]},"page":"40-55","publisher":"Elsevier Ltd","title":"Micromechanically-motivated phenomenological Hosford-Coulomb model for predicting ductile fracture initiation at low stress triaxialities","type":"article-journal","volume":"67-68"},"uris":["http://www.mendeley.com/documents/?uuid=1b8c4868-cf00-4f48-98dc-6b3eb9b3bcc0"]}],"mendeley":{"formattedCitation":"[14]","plainTextFormattedCitation":"[14]","previouslyFormattedCitation":"[13]"},"properties":{"noteIndex":0},"schema":"https://github.com/citation-style-language/schema/raw/master/csl-citation.json"}</w:instrText>
      </w:r>
      <w:r w:rsidRPr="00690745">
        <w:rPr>
          <w:color w:val="auto"/>
        </w:rPr>
        <w:fldChar w:fldCharType="separate"/>
      </w:r>
      <w:r w:rsidRPr="00690745">
        <w:rPr>
          <w:noProof/>
          <w:color w:val="auto"/>
        </w:rPr>
        <w:t>[14]</w:t>
      </w:r>
      <w:r w:rsidRPr="00690745">
        <w:rPr>
          <w:color w:val="auto"/>
        </w:rPr>
        <w:fldChar w:fldCharType="end"/>
      </w:r>
      <w:r w:rsidRPr="00690745">
        <w:rPr>
          <w:color w:val="auto"/>
        </w:rPr>
        <w:t xml:space="preserve"> and Gu and Mohr proposed strain-based fracture models based on this critical combination of equivalent and normal stress by transforming the stress-based failure criterion to strain space through assumed plasticity models.</w:t>
      </w:r>
      <w:r w:rsidR="000676A0" w:rsidRPr="00690745">
        <w:rPr>
          <w:color w:val="auto"/>
        </w:rPr>
        <w:t xml:space="preserve"> </w:t>
      </w:r>
      <w:r w:rsidRPr="00690745">
        <w:rPr>
          <w:color w:val="auto"/>
        </w:rPr>
        <w:t>The model used here is the one proposed in Gu and Mohr</w:t>
      </w:r>
      <w:r w:rsidR="000676A0" w:rsidRPr="00690745">
        <w:rPr>
          <w:color w:val="auto"/>
        </w:rPr>
        <w:t xml:space="preserve"> </w:t>
      </w:r>
      <w:r w:rsidRPr="00690745">
        <w:rPr>
          <w:color w:val="auto"/>
        </w:rPr>
        <w:fldChar w:fldCharType="begin" w:fldLock="1"/>
      </w:r>
      <w:r w:rsidRPr="00690745">
        <w:rPr>
          <w:color w:val="auto"/>
        </w:rPr>
        <w:instrText>ADDIN CSL_CITATION {"citationItems":[{"id":"ITEM-1","itemData":{"DOI":"10.1016/j.engfracmech.2015.08.004","ISSN":"00137944","abstract":"An anisotropic extension of the Hosford-Coulomb localization criterion is obtained through the linear transformation of the stress tensor argument. Unlike for isotropic materials where the stress state is characterized through the stress triaxiality and Lode parameter, the normalized Cauchy stress tensor is used to describe the stress state in an anisotropic solid. Based on experiments on extruded aluminum 6260-T6 covering stress states from pure shear to equi-biaxial tension for different material orientations, it is shown that this phenomenological and uncoupled model is capable to provide reasonable engineering approximations of the strains and displacements to fracture for thirteen different loading conditions.","author":[{"dropping-particle":"","family":"Gu","given":"Gongyao","non-dropping-particle":"","parse-names":false,"suffix":""},{"dropping-particle":"","family":"Mohr","given":"Dirk","non-dropping-particle":"","parse-names":false,"suffix":""}],"container-title":"Engineering Fracture Mechanics","id":"ITEM-1","issued":{"date-parts":[["2015"]]},"page":"480-497","title":"Anisotropic Hosford-Coulomb fracture initiation model: Theory and application","type":"article-journal","volume":"147"},"uris":["http://www.mendeley.com/documents/?uuid=942b4da2-e4aa-4936-ad29-daa0ec860045","http://www.mendeley.com/documents/?uuid=bf60dfce-98bf-4a25-9436-bb28ceef131e"]}],"mendeley":{"formattedCitation":"[23]","plainTextFormattedCitation":"[23]","previouslyFormattedCitation":"[22]"},"properties":{"noteIndex":0},"schema":"https://github.com/citation-style-language/schema/raw/master/csl-citation.json"}</w:instrText>
      </w:r>
      <w:r w:rsidRPr="00690745">
        <w:rPr>
          <w:color w:val="auto"/>
        </w:rPr>
        <w:fldChar w:fldCharType="separate"/>
      </w:r>
      <w:r w:rsidRPr="00690745">
        <w:rPr>
          <w:noProof/>
          <w:color w:val="auto"/>
        </w:rPr>
        <w:t>[23]</w:t>
      </w:r>
      <w:r w:rsidRPr="00690745">
        <w:rPr>
          <w:color w:val="auto"/>
        </w:rPr>
        <w:fldChar w:fldCharType="end"/>
      </w:r>
      <w:r w:rsidRPr="00690745">
        <w:rPr>
          <w:color w:val="auto"/>
        </w:rPr>
        <w:t>, which, under the constraints of proportional loading,</w:t>
      </w:r>
      <w:r w:rsidR="000676A0" w:rsidRPr="00690745">
        <w:rPr>
          <w:color w:val="auto"/>
        </w:rPr>
        <w:t xml:space="preserve"> </w:t>
      </w:r>
      <w:r w:rsidRPr="00690745">
        <w:rPr>
          <w:color w:val="auto"/>
        </w:rPr>
        <w:t>is given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1FFBD4FD" w14:textId="77777777" w:rsidTr="0017359C">
        <w:trPr>
          <w:trHeight w:val="340"/>
        </w:trPr>
        <w:tc>
          <w:tcPr>
            <w:tcW w:w="7426" w:type="dxa"/>
            <w:shd w:val="clear" w:color="auto" w:fill="auto"/>
            <w:vAlign w:val="center"/>
          </w:tcPr>
          <w:p w14:paraId="1DD4566D" w14:textId="77777777" w:rsidR="00257B12" w:rsidRPr="00690745" w:rsidRDefault="009F29D0" w:rsidP="0017359C">
            <w:pPr>
              <w:tabs>
                <w:tab w:val="left" w:pos="720"/>
                <w:tab w:val="center" w:pos="4680"/>
                <w:tab w:val="right" w:pos="9000"/>
              </w:tabs>
              <w:spacing w:before="120" w:after="120"/>
              <w:ind w:left="706"/>
              <w:jc w:val="center"/>
              <w:rPr>
                <w:rFonts w:eastAsia="DengXian"/>
                <w:iCs/>
                <w:color w:val="auto"/>
              </w:rPr>
            </w:pPr>
            <m:oMathPara>
              <m:oMath>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HC</m:t>
                    </m:r>
                  </m:sup>
                </m:sSubSup>
                <m:d>
                  <m:dPr>
                    <m:ctrlPr>
                      <w:rPr>
                        <w:rFonts w:ascii="Cambria Math" w:eastAsia="DengXian" w:hAnsi="Cambria Math"/>
                        <w:iCs/>
                        <w:color w:val="auto"/>
                      </w:rPr>
                    </m:ctrlPr>
                  </m:dPr>
                  <m:e>
                    <m:r>
                      <m:rPr>
                        <m:sty m:val="bi"/>
                      </m:rPr>
                      <w:rPr>
                        <w:rFonts w:ascii="Cambria Math" w:eastAsia="DengXian" w:hAnsi="Cambria Math"/>
                        <w:color w:val="auto"/>
                      </w:rPr>
                      <m:t>σ</m:t>
                    </m:r>
                    <m:r>
                      <m:rPr>
                        <m:sty m:val="p"/>
                      </m:rPr>
                      <w:rPr>
                        <w:rFonts w:ascii="Cambria Math" w:eastAsia="DengXian" w:hAnsi="Cambria Math"/>
                        <w:color w:val="auto"/>
                      </w:rPr>
                      <m:t>/</m:t>
                    </m:r>
                    <m:acc>
                      <m:accPr>
                        <m:chr m:val="̅"/>
                        <m:ctrlPr>
                          <w:rPr>
                            <w:rFonts w:ascii="Cambria Math" w:eastAsia="DengXian" w:hAnsi="Cambria Math"/>
                            <w:iCs/>
                            <w:color w:val="auto"/>
                          </w:rPr>
                        </m:ctrlPr>
                      </m:accPr>
                      <m:e>
                        <m:r>
                          <w:rPr>
                            <w:rFonts w:ascii="Cambria Math" w:eastAsia="DengXian" w:hAnsi="Cambria Math"/>
                            <w:color w:val="auto"/>
                          </w:rPr>
                          <m:t>σ</m:t>
                        </m:r>
                      </m:e>
                    </m:acc>
                  </m:e>
                </m:d>
                <m:r>
                  <m:rPr>
                    <m:sty m:val="p"/>
                  </m:rPr>
                  <w:rPr>
                    <w:rFonts w:ascii="Cambria Math" w:eastAsia="DengXian" w:hAnsi="Cambria Math"/>
                    <w:color w:val="auto"/>
                  </w:rPr>
                  <m:t>=</m:t>
                </m:r>
                <m:r>
                  <w:rPr>
                    <w:rFonts w:ascii="Cambria Math" w:eastAsia="DengXian" w:hAnsi="Cambria Math"/>
                    <w:color w:val="auto"/>
                  </w:rPr>
                  <m:t>b</m:t>
                </m:r>
                <m:sSup>
                  <m:sSupPr>
                    <m:ctrlPr>
                      <w:rPr>
                        <w:rFonts w:ascii="Cambria Math" w:eastAsia="DengXian" w:hAnsi="Cambria Math"/>
                        <w:iCs/>
                        <w:color w:val="auto"/>
                      </w:rPr>
                    </m:ctrlPr>
                  </m:sSupPr>
                  <m:e>
                    <m:d>
                      <m:dPr>
                        <m:ctrlPr>
                          <w:rPr>
                            <w:rFonts w:ascii="Cambria Math" w:eastAsia="DengXian" w:hAnsi="Cambria Math"/>
                            <w:iCs/>
                            <w:color w:val="auto"/>
                          </w:rPr>
                        </m:ctrlPr>
                      </m:dPr>
                      <m:e>
                        <m:f>
                          <m:fPr>
                            <m:ctrlPr>
                              <w:rPr>
                                <w:rFonts w:ascii="Cambria Math" w:eastAsia="DengXian" w:hAnsi="Cambria Math"/>
                                <w:iCs/>
                                <w:color w:val="auto"/>
                              </w:rPr>
                            </m:ctrlPr>
                          </m:fPr>
                          <m:num>
                            <m:r>
                              <m:rPr>
                                <m:sty m:val="p"/>
                              </m:rPr>
                              <w:rPr>
                                <w:rFonts w:ascii="Cambria Math" w:eastAsia="DengXian" w:hAnsi="Cambria Math"/>
                                <w:color w:val="auto"/>
                              </w:rPr>
                              <m:t>1+</m:t>
                            </m:r>
                            <m:r>
                              <w:rPr>
                                <w:rFonts w:ascii="Cambria Math" w:eastAsia="DengXian" w:hAnsi="Cambria Math"/>
                                <w:color w:val="auto"/>
                              </w:rPr>
                              <m:t>c</m:t>
                            </m:r>
                          </m:num>
                          <m:den>
                            <m:sSub>
                              <m:sSubPr>
                                <m:ctrlPr>
                                  <w:rPr>
                                    <w:rFonts w:ascii="Cambria Math" w:eastAsia="DengXian" w:hAnsi="Cambria Math"/>
                                    <w:iCs/>
                                    <w:color w:val="auto"/>
                                  </w:rPr>
                                </m:ctrlPr>
                              </m:sSubPr>
                              <m:e>
                                <m:r>
                                  <w:rPr>
                                    <w:rFonts w:ascii="Cambria Math" w:eastAsia="DengXian" w:hAnsi="Cambria Math"/>
                                    <w:color w:val="auto"/>
                                  </w:rPr>
                                  <m:t>g</m:t>
                                </m:r>
                              </m:e>
                              <m:sub>
                                <m:r>
                                  <w:rPr>
                                    <w:rFonts w:ascii="Cambria Math" w:eastAsia="DengXian" w:hAnsi="Cambria Math"/>
                                    <w:color w:val="auto"/>
                                  </w:rPr>
                                  <m:t>HC</m:t>
                                </m:r>
                              </m:sub>
                            </m:sSub>
                            <m:d>
                              <m:dPr>
                                <m:ctrlPr>
                                  <w:rPr>
                                    <w:rFonts w:ascii="Cambria Math" w:eastAsia="DengXian" w:hAnsi="Cambria Math"/>
                                    <w:iCs/>
                                    <w:color w:val="auto"/>
                                  </w:rPr>
                                </m:ctrlPr>
                              </m:dPr>
                              <m:e>
                                <m:f>
                                  <m:fPr>
                                    <m:ctrlPr>
                                      <w:rPr>
                                        <w:rFonts w:ascii="Cambria Math" w:eastAsia="DengXian" w:hAnsi="Cambria Math"/>
                                        <w:iCs/>
                                        <w:color w:val="auto"/>
                                      </w:rPr>
                                    </m:ctrlPr>
                                  </m:fPr>
                                  <m:num>
                                    <m:r>
                                      <m:rPr>
                                        <m:sty m:val="bi"/>
                                      </m:rPr>
                                      <w:rPr>
                                        <w:rFonts w:ascii="Cambria Math" w:eastAsia="DengXian" w:hAnsi="Cambria Math"/>
                                        <w:color w:val="auto"/>
                                      </w:rPr>
                                      <m:t>σ</m:t>
                                    </m:r>
                                  </m:num>
                                  <m:den>
                                    <m:acc>
                                      <m:accPr>
                                        <m:chr m:val="̅"/>
                                        <m:ctrlPr>
                                          <w:rPr>
                                            <w:rFonts w:ascii="Cambria Math" w:eastAsia="DengXian" w:hAnsi="Cambria Math"/>
                                            <w:iCs/>
                                            <w:color w:val="auto"/>
                                          </w:rPr>
                                        </m:ctrlPr>
                                      </m:accPr>
                                      <m:e>
                                        <m:r>
                                          <w:rPr>
                                            <w:rFonts w:ascii="Cambria Math" w:eastAsia="DengXian" w:hAnsi="Cambria Math"/>
                                            <w:color w:val="auto"/>
                                          </w:rPr>
                                          <m:t>σ</m:t>
                                        </m:r>
                                      </m:e>
                                    </m:acc>
                                  </m:den>
                                </m:f>
                              </m:e>
                            </m:d>
                          </m:den>
                        </m:f>
                      </m:e>
                    </m:d>
                  </m:e>
                  <m:sup>
                    <m:f>
                      <m:fPr>
                        <m:ctrlPr>
                          <w:rPr>
                            <w:rFonts w:ascii="Cambria Math" w:eastAsia="DengXian" w:hAnsi="Cambria Math"/>
                            <w:iCs/>
                            <w:color w:val="auto"/>
                          </w:rPr>
                        </m:ctrlPr>
                      </m:fPr>
                      <m:num>
                        <m:r>
                          <m:rPr>
                            <m:sty m:val="p"/>
                          </m:rPr>
                          <w:rPr>
                            <w:rFonts w:ascii="Cambria Math" w:eastAsia="DengXian" w:hAnsi="Cambria Math"/>
                            <w:color w:val="auto"/>
                          </w:rPr>
                          <m:t>1</m:t>
                        </m:r>
                      </m:num>
                      <m:den>
                        <m:r>
                          <w:rPr>
                            <w:rFonts w:ascii="Cambria Math" w:eastAsia="DengXian" w:hAnsi="Cambria Math"/>
                            <w:color w:val="auto"/>
                          </w:rPr>
                          <m:t>d</m:t>
                        </m:r>
                      </m:den>
                    </m:f>
                  </m:sup>
                </m:sSup>
              </m:oMath>
            </m:oMathPara>
          </w:p>
        </w:tc>
        <w:tc>
          <w:tcPr>
            <w:tcW w:w="430" w:type="dxa"/>
            <w:shd w:val="clear" w:color="auto" w:fill="auto"/>
            <w:vAlign w:val="center"/>
          </w:tcPr>
          <w:p w14:paraId="760459F4" w14:textId="2328626A"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11</w:t>
            </w:r>
            <w:r w:rsidRPr="00690745">
              <w:rPr>
                <w:rFonts w:eastAsia="DengXian"/>
                <w:iCs/>
                <w:color w:val="auto"/>
              </w:rPr>
              <w:fldChar w:fldCharType="end"/>
            </w:r>
            <w:r w:rsidRPr="00690745">
              <w:rPr>
                <w:rFonts w:eastAsia="DengXian"/>
                <w:iCs/>
                <w:color w:val="auto"/>
              </w:rPr>
              <w:t>)</w:t>
            </w:r>
          </w:p>
        </w:tc>
      </w:tr>
    </w:tbl>
    <w:p w14:paraId="1B269E64" w14:textId="32743CEA" w:rsidR="00257B12" w:rsidRPr="00E605D4" w:rsidRDefault="00383D7F" w:rsidP="000676A0">
      <w:pPr>
        <w:pStyle w:val="MDPI32textnoindent"/>
        <w:rPr>
          <w:rFonts w:eastAsia="DengXian"/>
          <w:color w:val="auto"/>
        </w:rPr>
      </w:pPr>
      <w:r>
        <w:rPr>
          <w:rFonts w:eastAsia="DengXian"/>
          <w:color w:val="auto"/>
        </w:rPr>
        <w:t>w</w:t>
      </w:r>
      <w:r w:rsidRPr="00E605D4">
        <w:rPr>
          <w:rFonts w:eastAsia="DengXian"/>
          <w:color w:val="auto"/>
        </w:rPr>
        <w:t>ith</w:t>
      </w:r>
      <w:r>
        <w:rPr>
          <w:rFonts w:eastAsia="DengXian"/>
          <w:color w:val="auto"/>
        </w:rPr>
        <w:t>:</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30B0326D" w14:textId="77777777" w:rsidTr="0017359C">
        <w:trPr>
          <w:trHeight w:val="340"/>
        </w:trPr>
        <w:tc>
          <w:tcPr>
            <w:tcW w:w="7426" w:type="dxa"/>
            <w:shd w:val="clear" w:color="auto" w:fill="auto"/>
            <w:vAlign w:val="center"/>
          </w:tcPr>
          <w:p w14:paraId="339729D0" w14:textId="77777777" w:rsidR="00257B12" w:rsidRPr="00690745" w:rsidRDefault="009F29D0" w:rsidP="0017359C">
            <w:pPr>
              <w:tabs>
                <w:tab w:val="left" w:pos="720"/>
                <w:tab w:val="center" w:pos="4680"/>
                <w:tab w:val="right" w:pos="9000"/>
              </w:tabs>
              <w:spacing w:before="120" w:after="120"/>
              <w:ind w:left="706"/>
              <w:jc w:val="center"/>
              <w:rPr>
                <w:rFonts w:eastAsia="DengXian"/>
                <w:color w:val="auto"/>
              </w:rPr>
            </w:pPr>
            <m:oMath>
              <m:sSub>
                <m:sSubPr>
                  <m:ctrlPr>
                    <w:rPr>
                      <w:rFonts w:ascii="Cambria Math" w:eastAsia="DengXian" w:hAnsi="Cambria Math"/>
                      <w:iCs/>
                      <w:color w:val="auto"/>
                    </w:rPr>
                  </m:ctrlPr>
                </m:sSubPr>
                <m:e>
                  <m:r>
                    <w:rPr>
                      <w:rFonts w:ascii="Cambria Math" w:eastAsia="DengXian" w:hAnsi="Cambria Math"/>
                      <w:color w:val="auto"/>
                    </w:rPr>
                    <m:t>g</m:t>
                  </m:r>
                </m:e>
                <m:sub>
                  <m:r>
                    <w:rPr>
                      <w:rFonts w:ascii="Cambria Math" w:eastAsia="DengXian" w:hAnsi="Cambria Math"/>
                      <w:color w:val="auto"/>
                    </w:rPr>
                    <m:t>HC</m:t>
                  </m:r>
                </m:sub>
              </m:sSub>
              <m:d>
                <m:dPr>
                  <m:ctrlPr>
                    <w:rPr>
                      <w:rFonts w:ascii="Cambria Math" w:eastAsia="DengXian" w:hAnsi="Cambria Math"/>
                      <w:iCs/>
                      <w:color w:val="auto"/>
                    </w:rPr>
                  </m:ctrlPr>
                </m:dPr>
                <m:e>
                  <m:f>
                    <m:fPr>
                      <m:ctrlPr>
                        <w:rPr>
                          <w:rFonts w:ascii="Cambria Math" w:eastAsia="DengXian" w:hAnsi="Cambria Math"/>
                          <w:iCs/>
                          <w:color w:val="auto"/>
                        </w:rPr>
                      </m:ctrlPr>
                    </m:fPr>
                    <m:num>
                      <m:r>
                        <m:rPr>
                          <m:sty m:val="bi"/>
                        </m:rPr>
                        <w:rPr>
                          <w:rFonts w:ascii="Cambria Math" w:eastAsia="DengXian" w:hAnsi="Cambria Math"/>
                          <w:color w:val="auto"/>
                        </w:rPr>
                        <m:t>σ</m:t>
                      </m:r>
                    </m:num>
                    <m:den>
                      <m:acc>
                        <m:accPr>
                          <m:chr m:val="̅"/>
                          <m:ctrlPr>
                            <w:rPr>
                              <w:rFonts w:ascii="Cambria Math" w:eastAsia="DengXian" w:hAnsi="Cambria Math"/>
                              <w:iCs/>
                              <w:color w:val="auto"/>
                            </w:rPr>
                          </m:ctrlPr>
                        </m:accPr>
                        <m:e>
                          <m:r>
                            <w:rPr>
                              <w:rFonts w:ascii="Cambria Math" w:eastAsia="DengXian" w:hAnsi="Cambria Math"/>
                              <w:color w:val="auto"/>
                            </w:rPr>
                            <m:t>σ</m:t>
                          </m:r>
                        </m:e>
                      </m:acc>
                    </m:den>
                  </m:f>
                </m:e>
              </m:d>
              <m:r>
                <m:rPr>
                  <m:sty m:val="p"/>
                </m:rPr>
                <w:rPr>
                  <w:rFonts w:ascii="Cambria Math" w:eastAsia="DengXian" w:hAnsi="Cambria Math"/>
                  <w:color w:val="auto"/>
                </w:rPr>
                <m:t>=</m:t>
              </m:r>
              <m:sSup>
                <m:sSupPr>
                  <m:ctrlPr>
                    <w:rPr>
                      <w:rFonts w:ascii="Cambria Math" w:eastAsia="DengXian" w:hAnsi="Cambria Math"/>
                      <w:iCs/>
                      <w:color w:val="auto"/>
                    </w:rPr>
                  </m:ctrlPr>
                </m:sSupPr>
                <m:e>
                  <m:d>
                    <m:dPr>
                      <m:begChr m:val="{"/>
                      <m:endChr m:val="}"/>
                      <m:ctrlPr>
                        <w:rPr>
                          <w:rFonts w:ascii="Cambria Math" w:eastAsia="DengXian" w:hAnsi="Cambria Math"/>
                          <w:iCs/>
                          <w:color w:val="auto"/>
                        </w:rPr>
                      </m:ctrlPr>
                    </m:dPr>
                    <m:e>
                      <m:f>
                        <m:fPr>
                          <m:ctrlPr>
                            <w:rPr>
                              <w:rFonts w:ascii="Cambria Math" w:eastAsia="DengXian" w:hAnsi="Cambria Math"/>
                              <w:iCs/>
                              <w:color w:val="auto"/>
                            </w:rPr>
                          </m:ctrlPr>
                        </m:fPr>
                        <m:num>
                          <m:r>
                            <m:rPr>
                              <m:sty m:val="p"/>
                            </m:rPr>
                            <w:rPr>
                              <w:rFonts w:ascii="Cambria Math" w:eastAsia="DengXian" w:hAnsi="Cambria Math"/>
                              <w:color w:val="auto"/>
                            </w:rPr>
                            <m:t>1</m:t>
                          </m:r>
                        </m:num>
                        <m:den>
                          <m:r>
                            <m:rPr>
                              <m:sty m:val="p"/>
                            </m:rPr>
                            <w:rPr>
                              <w:rFonts w:ascii="Cambria Math" w:eastAsia="DengXian" w:hAnsi="Cambria Math"/>
                              <w:color w:val="auto"/>
                            </w:rPr>
                            <m:t>2</m:t>
                          </m:r>
                        </m:den>
                      </m:f>
                      <m:d>
                        <m:dPr>
                          <m:begChr m:val="["/>
                          <m:endChr m:val="]"/>
                          <m:ctrlPr>
                            <w:rPr>
                              <w:rFonts w:ascii="Cambria Math" w:eastAsia="DengXian" w:hAnsi="Cambria Math"/>
                              <w:iCs/>
                              <w:color w:val="auto"/>
                            </w:rPr>
                          </m:ctrlPr>
                        </m:dPr>
                        <m:e>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2</m:t>
                                      </m:r>
                                    </m:sub>
                                  </m:sSub>
                                </m:e>
                              </m:d>
                            </m:e>
                            <m:sup>
                              <m:r>
                                <w:rPr>
                                  <w:rFonts w:ascii="Cambria Math" w:eastAsia="DengXian" w:hAnsi="Cambria Math"/>
                                  <w:color w:val="auto"/>
                                </w:rPr>
                                <m:t>a</m:t>
                              </m:r>
                            </m:sup>
                          </m:sSup>
                          <m:r>
                            <m:rPr>
                              <m:sty m:val="p"/>
                            </m:rPr>
                            <w:rPr>
                              <w:rFonts w:ascii="Cambria Math" w:eastAsia="DengXian" w:hAnsi="Cambria Math"/>
                              <w:color w:val="auto"/>
                            </w:rPr>
                            <m:t>+</m:t>
                          </m:r>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2</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e>
                            <m:sup>
                              <m:r>
                                <w:rPr>
                                  <w:rFonts w:ascii="Cambria Math" w:eastAsia="DengXian" w:hAnsi="Cambria Math"/>
                                  <w:color w:val="auto"/>
                                </w:rPr>
                                <m:t>a</m:t>
                              </m:r>
                            </m:sup>
                          </m:sSup>
                          <m:r>
                            <m:rPr>
                              <m:sty m:val="p"/>
                            </m:rPr>
                            <w:rPr>
                              <w:rFonts w:ascii="Cambria Math" w:eastAsia="DengXian" w:hAnsi="Cambria Math"/>
                              <w:color w:val="auto"/>
                            </w:rPr>
                            <m:t>+</m:t>
                          </m:r>
                          <m:sSup>
                            <m:sSupPr>
                              <m:ctrlPr>
                                <w:rPr>
                                  <w:rFonts w:ascii="Cambria Math" w:eastAsia="DengXian" w:hAnsi="Cambria Math"/>
                                  <w:iCs/>
                                  <w:color w:val="auto"/>
                                </w:rPr>
                              </m:ctrlPr>
                            </m:sSupPr>
                            <m:e>
                              <m:d>
                                <m:dPr>
                                  <m:ctrlPr>
                                    <w:rPr>
                                      <w:rFonts w:ascii="Cambria Math" w:eastAsia="DengXian" w:hAnsi="Cambria Math"/>
                                      <w:iCs/>
                                      <w:color w:val="auto"/>
                                    </w:rPr>
                                  </m:ctrlPr>
                                </m:dPr>
                                <m:e>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e>
                            <m:sup>
                              <m:r>
                                <w:rPr>
                                  <w:rFonts w:ascii="Cambria Math" w:eastAsia="DengXian" w:hAnsi="Cambria Math"/>
                                  <w:color w:val="auto"/>
                                </w:rPr>
                                <m:t>a</m:t>
                              </m:r>
                            </m:sup>
                          </m:sSup>
                        </m:e>
                      </m:d>
                    </m:e>
                  </m:d>
                </m:e>
                <m:sup>
                  <m:f>
                    <m:fPr>
                      <m:ctrlPr>
                        <w:rPr>
                          <w:rFonts w:ascii="Cambria Math" w:eastAsia="DengXian" w:hAnsi="Cambria Math"/>
                          <w:iCs/>
                          <w:color w:val="auto"/>
                        </w:rPr>
                      </m:ctrlPr>
                    </m:fPr>
                    <m:num>
                      <m:r>
                        <m:rPr>
                          <m:sty m:val="p"/>
                        </m:rPr>
                        <w:rPr>
                          <w:rFonts w:ascii="Cambria Math" w:eastAsia="DengXian" w:hAnsi="Cambria Math"/>
                          <w:color w:val="auto"/>
                        </w:rPr>
                        <m:t>1</m:t>
                      </m:r>
                    </m:num>
                    <m:den>
                      <m:r>
                        <w:rPr>
                          <w:rFonts w:ascii="Cambria Math" w:eastAsia="DengXian" w:hAnsi="Cambria Math"/>
                          <w:color w:val="auto"/>
                        </w:rPr>
                        <m:t>a</m:t>
                      </m:r>
                    </m:den>
                  </m:f>
                </m:sup>
              </m:sSup>
              <m:r>
                <m:rPr>
                  <m:sty m:val="p"/>
                </m:rPr>
                <w:rPr>
                  <w:rFonts w:ascii="Cambria Math" w:eastAsia="DengXian" w:hAnsi="Cambria Math"/>
                  <w:color w:val="auto"/>
                </w:rPr>
                <m:t>+</m:t>
              </m:r>
              <m:r>
                <w:rPr>
                  <w:rFonts w:ascii="Cambria Math" w:eastAsia="DengXian" w:hAnsi="Cambria Math"/>
                  <w:color w:val="auto"/>
                </w:rPr>
                <m:t>c</m:t>
              </m:r>
              <m:d>
                <m:dPr>
                  <m:ctrlPr>
                    <w:rPr>
                      <w:rFonts w:ascii="Cambria Math" w:eastAsia="DengXian" w:hAnsi="Cambria Math"/>
                      <w:iCs/>
                      <w:color w:val="auto"/>
                    </w:rPr>
                  </m:ctrlPr>
                </m:dPr>
                <m:e>
                  <m:r>
                    <m:rPr>
                      <m:sty m:val="p"/>
                    </m:rPr>
                    <w:rPr>
                      <w:rFonts w:ascii="Cambria Math" w:eastAsia="DengXian" w:hAnsi="Cambria Math"/>
                      <w:color w:val="auto"/>
                    </w:rPr>
                    <m:t>2</m:t>
                  </m:r>
                  <m:r>
                    <w:rPr>
                      <w:rFonts w:ascii="Cambria Math" w:eastAsia="DengXian" w:hAnsi="Cambria Math"/>
                      <w:color w:val="auto"/>
                    </w:rPr>
                    <m:t>η</m:t>
                  </m:r>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1</m:t>
                      </m:r>
                    </m:sub>
                  </m:sSub>
                  <m:r>
                    <m:rPr>
                      <m:sty m:val="p"/>
                    </m:rPr>
                    <w:rPr>
                      <w:rFonts w:ascii="Cambria Math" w:eastAsia="DengXian" w:hAnsi="Cambria Math"/>
                      <w:color w:val="auto"/>
                    </w:rPr>
                    <m:t>+</m:t>
                  </m:r>
                  <m:sSub>
                    <m:sSubPr>
                      <m:ctrlPr>
                        <w:rPr>
                          <w:rFonts w:ascii="Cambria Math" w:eastAsia="DengXian" w:hAnsi="Cambria Math"/>
                          <w:iCs/>
                          <w:color w:val="auto"/>
                        </w:rPr>
                      </m:ctrlPr>
                    </m:sSubPr>
                    <m:e>
                      <m:r>
                        <w:rPr>
                          <w:rFonts w:ascii="Cambria Math" w:eastAsia="DengXian" w:hAnsi="Cambria Math"/>
                          <w:color w:val="auto"/>
                        </w:rPr>
                        <m:t>f</m:t>
                      </m:r>
                    </m:e>
                    <m:sub>
                      <m:r>
                        <m:rPr>
                          <m:sty m:val="p"/>
                        </m:rPr>
                        <w:rPr>
                          <w:rFonts w:ascii="Cambria Math" w:eastAsia="DengXian" w:hAnsi="Cambria Math"/>
                          <w:color w:val="auto"/>
                        </w:rPr>
                        <m:t>3</m:t>
                      </m:r>
                    </m:sub>
                  </m:sSub>
                </m:e>
              </m:d>
            </m:oMath>
            <w:r w:rsidR="00257B12" w:rsidRPr="00690745">
              <w:rPr>
                <w:rFonts w:eastAsia="DengXian"/>
                <w:iCs/>
                <w:color w:val="auto"/>
              </w:rPr>
              <w:t>.</w:t>
            </w:r>
          </w:p>
        </w:tc>
        <w:tc>
          <w:tcPr>
            <w:tcW w:w="430" w:type="dxa"/>
            <w:shd w:val="clear" w:color="auto" w:fill="auto"/>
            <w:vAlign w:val="center"/>
          </w:tcPr>
          <w:p w14:paraId="492BCEFA" w14:textId="27EBDFD6" w:rsidR="00257B12" w:rsidRPr="00690745" w:rsidRDefault="00257B12" w:rsidP="0017359C">
            <w:pPr>
              <w:tabs>
                <w:tab w:val="left" w:pos="720"/>
                <w:tab w:val="center" w:pos="4680"/>
                <w:tab w:val="right" w:pos="9000"/>
              </w:tabs>
              <w:spacing w:before="120" w:after="120"/>
              <w:jc w:val="right"/>
              <w:rPr>
                <w:rFonts w:eastAsia="DengXian"/>
                <w:color w:val="auto"/>
              </w:rPr>
            </w:pPr>
            <w:r w:rsidRPr="00690745">
              <w:rPr>
                <w:rFonts w:eastAsia="DengXian"/>
                <w:color w:val="auto"/>
              </w:rPr>
              <w:t>(</w:t>
            </w:r>
            <w:r w:rsidRPr="00690745">
              <w:rPr>
                <w:rFonts w:eastAsia="DengXian"/>
                <w:color w:val="auto"/>
              </w:rPr>
              <w:fldChar w:fldCharType="begin"/>
            </w:r>
            <w:r w:rsidRPr="00690745">
              <w:rPr>
                <w:rFonts w:eastAsia="DengXian"/>
                <w:color w:val="auto"/>
              </w:rPr>
              <w:instrText xml:space="preserve"> seq EquationSeq \* \Arabic </w:instrText>
            </w:r>
            <w:r w:rsidRPr="00690745">
              <w:rPr>
                <w:rFonts w:eastAsia="DengXian"/>
                <w:color w:val="auto"/>
              </w:rPr>
              <w:fldChar w:fldCharType="separate"/>
            </w:r>
            <w:r w:rsidR="00794EC3">
              <w:rPr>
                <w:rFonts w:eastAsia="DengXian"/>
                <w:color w:val="auto"/>
              </w:rPr>
              <w:t>12</w:t>
            </w:r>
            <w:r w:rsidRPr="00690745">
              <w:rPr>
                <w:rFonts w:eastAsia="DengXian"/>
                <w:color w:val="auto"/>
              </w:rPr>
              <w:fldChar w:fldCharType="end"/>
            </w:r>
            <w:r w:rsidRPr="00690745">
              <w:rPr>
                <w:rFonts w:eastAsia="DengXian"/>
                <w:color w:val="auto"/>
              </w:rPr>
              <w:t>)</w:t>
            </w:r>
          </w:p>
        </w:tc>
      </w:tr>
    </w:tbl>
    <w:p w14:paraId="728B3EC2" w14:textId="77777777" w:rsidR="00257B12" w:rsidRPr="00690745" w:rsidRDefault="00257B12" w:rsidP="000676A0">
      <w:pPr>
        <w:pStyle w:val="MDPI31text"/>
        <w:rPr>
          <w:rFonts w:eastAsia="DengXian"/>
          <w:color w:val="auto"/>
        </w:rPr>
      </w:pPr>
      <w:r w:rsidRPr="00690745">
        <w:rPr>
          <w:rFonts w:eastAsia="DengXian"/>
          <w:color w:val="auto"/>
        </w:rPr>
        <w:t xml:space="preserve">In this model, </w:t>
      </w:r>
      <w:r w:rsidRPr="00690745">
        <w:rPr>
          <w:rFonts w:eastAsia="DengXian"/>
          <w:i/>
          <w:iCs/>
          <w:color w:val="auto"/>
        </w:rPr>
        <w:t>a</w:t>
      </w:r>
      <w:r w:rsidRPr="00690745">
        <w:rPr>
          <w:rFonts w:eastAsia="DengXian"/>
          <w:color w:val="auto"/>
        </w:rPr>
        <w:t xml:space="preserve">, </w:t>
      </w:r>
      <w:r w:rsidRPr="00690745">
        <w:rPr>
          <w:rFonts w:eastAsia="DengXian"/>
          <w:i/>
          <w:iCs/>
          <w:color w:val="auto"/>
        </w:rPr>
        <w:t>b</w:t>
      </w:r>
      <w:r w:rsidRPr="00690745">
        <w:rPr>
          <w:rFonts w:eastAsia="DengXian"/>
          <w:color w:val="auto"/>
        </w:rPr>
        <w:t>, and</w:t>
      </w:r>
      <w:r w:rsidRPr="00690745">
        <w:rPr>
          <w:rFonts w:eastAsia="DengXian"/>
          <w:i/>
          <w:iCs/>
          <w:color w:val="auto"/>
        </w:rPr>
        <w:t xml:space="preserve"> c</w:t>
      </w:r>
      <w:r w:rsidRPr="00690745">
        <w:rPr>
          <w:rFonts w:eastAsia="DengXian"/>
          <w:color w:val="auto"/>
        </w:rPr>
        <w:t xml:space="preserve"> all retain their meaning from the HC stress-based failure criterion and </w:t>
      </w:r>
      <w:r w:rsidRPr="00690745">
        <w:rPr>
          <w:rFonts w:eastAsia="DengXian"/>
          <w:i/>
          <w:iCs/>
          <w:color w:val="auto"/>
        </w:rPr>
        <w:t>d</w:t>
      </w:r>
      <w:r w:rsidRPr="00690745">
        <w:rPr>
          <w:rFonts w:eastAsia="DengXian"/>
          <w:color w:val="auto"/>
        </w:rPr>
        <w:t xml:space="preserve"> increases or decreases the curvature of the fracture locus, where a larger value of </w:t>
      </w:r>
      <w:r w:rsidRPr="00690745">
        <w:rPr>
          <w:rFonts w:eastAsia="DengXian"/>
          <w:i/>
          <w:iCs/>
          <w:color w:val="auto"/>
        </w:rPr>
        <w:t>d</w:t>
      </w:r>
      <w:r w:rsidRPr="00690745">
        <w:rPr>
          <w:rFonts w:eastAsia="DengXian"/>
          <w:color w:val="auto"/>
        </w:rPr>
        <w:t xml:space="preserve"> results in less curvature and therefore a flatter surface. </w:t>
      </w:r>
    </w:p>
    <w:p w14:paraId="62F39D66" w14:textId="77777777" w:rsidR="00257B12" w:rsidRPr="00690745" w:rsidRDefault="00257B12" w:rsidP="000676A0">
      <w:pPr>
        <w:pStyle w:val="MDPI31text"/>
        <w:rPr>
          <w:color w:val="auto"/>
        </w:rPr>
      </w:pPr>
      <w:r w:rsidRPr="00690745">
        <w:rPr>
          <w:color w:val="auto"/>
        </w:rPr>
        <w:t xml:space="preserve">Parameters for both models were calibrated using a </w:t>
      </w:r>
      <w:proofErr w:type="spellStart"/>
      <w:r w:rsidRPr="00690745">
        <w:rPr>
          <w:color w:val="auto"/>
        </w:rPr>
        <w:t>Matlab</w:t>
      </w:r>
      <w:proofErr w:type="spellEnd"/>
      <w:r w:rsidRPr="00690745">
        <w:rPr>
          <w:color w:val="auto"/>
        </w:rPr>
        <w:t xml:space="preserve"> code (</w:t>
      </w:r>
      <w:proofErr w:type="spellStart"/>
      <w:r w:rsidRPr="00690745">
        <w:rPr>
          <w:color w:val="auto"/>
        </w:rPr>
        <w:t>fmincon</w:t>
      </w:r>
      <w:proofErr w:type="spellEnd"/>
      <w:r w:rsidRPr="00690745">
        <w:rPr>
          <w:color w:val="auto"/>
        </w:rPr>
        <w:t>) that optimized parameter values such that mean absolute percentage error for the damage indicator (D), calculated as:</w:t>
      </w:r>
    </w:p>
    <w:tbl>
      <w:tblPr>
        <w:tblW w:w="0" w:type="dxa"/>
        <w:tblInd w:w="2608" w:type="dxa"/>
        <w:tblLayout w:type="fixed"/>
        <w:tblCellMar>
          <w:left w:w="0" w:type="dxa"/>
          <w:right w:w="0" w:type="dxa"/>
        </w:tblCellMar>
        <w:tblLook w:val="0000" w:firstRow="0" w:lastRow="0" w:firstColumn="0" w:lastColumn="0" w:noHBand="0" w:noVBand="0"/>
      </w:tblPr>
      <w:tblGrid>
        <w:gridCol w:w="7426"/>
        <w:gridCol w:w="430"/>
      </w:tblGrid>
      <w:tr w:rsidR="00257B12" w:rsidRPr="00690745" w14:paraId="3FF5B78E" w14:textId="77777777" w:rsidTr="0017359C">
        <w:trPr>
          <w:trHeight w:val="340"/>
        </w:trPr>
        <w:tc>
          <w:tcPr>
            <w:tcW w:w="7426" w:type="dxa"/>
            <w:shd w:val="clear" w:color="auto" w:fill="auto"/>
            <w:vAlign w:val="center"/>
          </w:tcPr>
          <w:p w14:paraId="36EA34E3" w14:textId="77777777" w:rsidR="00257B12" w:rsidRPr="00690745" w:rsidRDefault="00257B12" w:rsidP="0017359C">
            <w:pPr>
              <w:tabs>
                <w:tab w:val="left" w:pos="720"/>
                <w:tab w:val="center" w:pos="4680"/>
                <w:tab w:val="right" w:pos="9000"/>
              </w:tabs>
              <w:spacing w:before="120" w:after="120"/>
              <w:ind w:left="706"/>
              <w:jc w:val="center"/>
              <w:rPr>
                <w:rFonts w:eastAsia="DengXian"/>
                <w:iCs/>
                <w:color w:val="auto"/>
              </w:rPr>
            </w:pPr>
            <m:oMath>
              <m:r>
                <w:rPr>
                  <w:rFonts w:ascii="Cambria Math" w:eastAsia="DengXian" w:hAnsi="Cambria Math"/>
                  <w:color w:val="auto"/>
                </w:rPr>
                <m:t>D</m:t>
              </m:r>
              <m:r>
                <m:rPr>
                  <m:sty m:val="p"/>
                </m:rPr>
                <w:rPr>
                  <w:rFonts w:ascii="Cambria Math" w:eastAsia="DengXian" w:hAnsi="Cambria Math"/>
                  <w:color w:val="auto"/>
                </w:rPr>
                <m:t>=</m:t>
              </m:r>
              <m:nary>
                <m:naryPr>
                  <m:limLoc m:val="undOvr"/>
                  <m:ctrlPr>
                    <w:rPr>
                      <w:rFonts w:ascii="Cambria Math" w:eastAsia="DengXian" w:hAnsi="Cambria Math"/>
                      <w:iCs/>
                      <w:color w:val="auto"/>
                    </w:rPr>
                  </m:ctrlPr>
                </m:naryPr>
                <m:sub>
                  <m:r>
                    <m:rPr>
                      <m:sty m:val="p"/>
                    </m:rPr>
                    <w:rPr>
                      <w:rFonts w:ascii="Cambria Math" w:eastAsia="DengXian" w:hAnsi="Cambria Math"/>
                      <w:color w:val="auto"/>
                    </w:rPr>
                    <m:t>0</m:t>
                  </m:r>
                </m:sub>
                <m:sup>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Sub>
                </m:sup>
                <m:e>
                  <m:f>
                    <m:fPr>
                      <m:ctrlPr>
                        <w:rPr>
                          <w:rFonts w:ascii="Cambria Math" w:eastAsia="DengXian" w:hAnsi="Cambria Math"/>
                          <w:iCs/>
                          <w:color w:val="auto"/>
                        </w:rPr>
                      </m:ctrlPr>
                    </m:fPr>
                    <m:num>
                      <m:r>
                        <m:rPr>
                          <m:sty m:val="p"/>
                        </m:rPr>
                        <w:rPr>
                          <w:rFonts w:ascii="Cambria Math" w:eastAsia="DengXian" w:hAnsi="Cambria Math"/>
                          <w:color w:val="auto"/>
                        </w:rPr>
                        <m:t>1</m:t>
                      </m:r>
                    </m:num>
                    <m:den>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MMC</m:t>
                          </m:r>
                          <m:r>
                            <m:rPr>
                              <m:sty m:val="p"/>
                            </m:rPr>
                            <w:rPr>
                              <w:rFonts w:ascii="Cambria Math" w:eastAsia="DengXian" w:hAnsi="Cambria Math"/>
                              <w:color w:val="auto"/>
                            </w:rPr>
                            <m:t>,</m:t>
                          </m:r>
                        </m:sup>
                      </m:sSubSup>
                    </m:den>
                  </m:f>
                  <m:r>
                    <m:rPr>
                      <m:sty m:val="p"/>
                    </m:rPr>
                    <w:rPr>
                      <w:rFonts w:ascii="Cambria Math" w:eastAsia="DengXian" w:hAnsi="Cambria Math"/>
                      <w:color w:val="auto"/>
                    </w:rPr>
                    <m:t xml:space="preserve"> </m:t>
                  </m:r>
                  <m:r>
                    <w:rPr>
                      <w:rFonts w:ascii="Cambria Math" w:eastAsia="DengXian" w:hAnsi="Cambria Math"/>
                      <w:color w:val="auto"/>
                    </w:rPr>
                    <m:t>d</m:t>
                  </m:r>
                  <m:acc>
                    <m:accPr>
                      <m:chr m:val="̅"/>
                      <m:ctrlPr>
                        <w:rPr>
                          <w:rFonts w:ascii="Cambria Math" w:eastAsia="DengXian" w:hAnsi="Cambria Math"/>
                          <w:iCs/>
                          <w:color w:val="auto"/>
                        </w:rPr>
                      </m:ctrlPr>
                    </m:accPr>
                    <m:e>
                      <m:r>
                        <w:rPr>
                          <w:rFonts w:ascii="Cambria Math" w:eastAsia="DengXian" w:hAnsi="Cambria Math"/>
                          <w:color w:val="auto"/>
                        </w:rPr>
                        <m:t>ε</m:t>
                      </m:r>
                    </m:e>
                  </m:acc>
                </m:e>
              </m:nary>
            </m:oMath>
            <w:r w:rsidRPr="00690745">
              <w:rPr>
                <w:rFonts w:eastAsia="DengXian"/>
                <w:iCs/>
                <w:color w:val="auto"/>
              </w:rPr>
              <w:t xml:space="preserve">  and </w:t>
            </w:r>
            <m:oMath>
              <m:r>
                <w:rPr>
                  <w:rFonts w:ascii="Cambria Math" w:eastAsia="DengXian" w:hAnsi="Cambria Math"/>
                  <w:color w:val="auto"/>
                </w:rPr>
                <m:t>D</m:t>
              </m:r>
              <m:r>
                <m:rPr>
                  <m:sty m:val="p"/>
                </m:rPr>
                <w:rPr>
                  <w:rFonts w:ascii="Cambria Math" w:eastAsia="DengXian" w:hAnsi="Cambria Math"/>
                  <w:color w:val="auto"/>
                </w:rPr>
                <m:t>=</m:t>
              </m:r>
              <m:nary>
                <m:naryPr>
                  <m:limLoc m:val="undOvr"/>
                  <m:ctrlPr>
                    <w:rPr>
                      <w:rFonts w:ascii="Cambria Math" w:eastAsia="DengXian" w:hAnsi="Cambria Math"/>
                      <w:iCs/>
                      <w:color w:val="auto"/>
                    </w:rPr>
                  </m:ctrlPr>
                </m:naryPr>
                <m:sub>
                  <m:r>
                    <m:rPr>
                      <m:sty m:val="p"/>
                    </m:rPr>
                    <w:rPr>
                      <w:rFonts w:ascii="Cambria Math" w:eastAsia="DengXian" w:hAnsi="Cambria Math"/>
                      <w:color w:val="auto"/>
                    </w:rPr>
                    <m:t>0</m:t>
                  </m:r>
                </m:sub>
                <m:sup>
                  <m:sSub>
                    <m:sSubPr>
                      <m:ctrlPr>
                        <w:rPr>
                          <w:rFonts w:ascii="Cambria Math" w:eastAsia="DengXian" w:hAnsi="Cambria Math"/>
                          <w:iCs/>
                          <w:color w:val="auto"/>
                        </w:rPr>
                      </m:ctrlPr>
                    </m:sSub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Sub>
                </m:sup>
                <m:e>
                  <m:f>
                    <m:fPr>
                      <m:ctrlPr>
                        <w:rPr>
                          <w:rFonts w:ascii="Cambria Math" w:eastAsia="DengXian" w:hAnsi="Cambria Math"/>
                          <w:iCs/>
                          <w:color w:val="auto"/>
                        </w:rPr>
                      </m:ctrlPr>
                    </m:fPr>
                    <m:num>
                      <m:r>
                        <m:rPr>
                          <m:sty m:val="p"/>
                        </m:rPr>
                        <w:rPr>
                          <w:rFonts w:ascii="Cambria Math" w:eastAsia="DengXian" w:hAnsi="Cambria Math"/>
                          <w:color w:val="auto"/>
                        </w:rPr>
                        <m:t>1</m:t>
                      </m:r>
                    </m:num>
                    <m:den>
                      <m:sSubSup>
                        <m:sSubSupPr>
                          <m:ctrlPr>
                            <w:rPr>
                              <w:rFonts w:ascii="Cambria Math" w:eastAsia="DengXian" w:hAnsi="Cambria Math"/>
                              <w:iCs/>
                              <w:color w:val="auto"/>
                            </w:rPr>
                          </m:ctrlPr>
                        </m:sSubSupPr>
                        <m:e>
                          <m:acc>
                            <m:accPr>
                              <m:chr m:val="̅"/>
                              <m:ctrlPr>
                                <w:rPr>
                                  <w:rFonts w:ascii="Cambria Math" w:eastAsia="DengXian" w:hAnsi="Cambria Math"/>
                                  <w:iCs/>
                                  <w:color w:val="auto"/>
                                </w:rPr>
                              </m:ctrlPr>
                            </m:accPr>
                            <m:e>
                              <m:r>
                                <w:rPr>
                                  <w:rFonts w:ascii="Cambria Math" w:eastAsia="DengXian" w:hAnsi="Cambria Math"/>
                                  <w:color w:val="auto"/>
                                </w:rPr>
                                <m:t>ε</m:t>
                              </m:r>
                            </m:e>
                          </m:acc>
                        </m:e>
                        <m:sub>
                          <m:r>
                            <w:rPr>
                              <w:rFonts w:ascii="Cambria Math" w:eastAsia="DengXian" w:hAnsi="Cambria Math"/>
                              <w:color w:val="auto"/>
                            </w:rPr>
                            <m:t>f</m:t>
                          </m:r>
                        </m:sub>
                        <m:sup>
                          <m:r>
                            <w:rPr>
                              <w:rFonts w:ascii="Cambria Math" w:eastAsia="DengXian" w:hAnsi="Cambria Math"/>
                              <w:color w:val="auto"/>
                            </w:rPr>
                            <m:t>HC</m:t>
                          </m:r>
                        </m:sup>
                      </m:sSubSup>
                    </m:den>
                  </m:f>
                  <m:r>
                    <m:rPr>
                      <m:sty m:val="p"/>
                    </m:rPr>
                    <w:rPr>
                      <w:rFonts w:ascii="Cambria Math" w:eastAsia="DengXian" w:hAnsi="Cambria Math"/>
                      <w:color w:val="auto"/>
                    </w:rPr>
                    <m:t xml:space="preserve"> </m:t>
                  </m:r>
                  <m:r>
                    <w:rPr>
                      <w:rFonts w:ascii="Cambria Math" w:eastAsia="DengXian" w:hAnsi="Cambria Math"/>
                      <w:color w:val="auto"/>
                    </w:rPr>
                    <m:t>d</m:t>
                  </m:r>
                  <m:acc>
                    <m:accPr>
                      <m:chr m:val="̅"/>
                      <m:ctrlPr>
                        <w:rPr>
                          <w:rFonts w:ascii="Cambria Math" w:eastAsia="DengXian" w:hAnsi="Cambria Math"/>
                          <w:iCs/>
                          <w:color w:val="auto"/>
                        </w:rPr>
                      </m:ctrlPr>
                    </m:accPr>
                    <m:e>
                      <m:r>
                        <w:rPr>
                          <w:rFonts w:ascii="Cambria Math" w:eastAsia="DengXian" w:hAnsi="Cambria Math"/>
                          <w:color w:val="auto"/>
                        </w:rPr>
                        <m:t>ε</m:t>
                      </m:r>
                    </m:e>
                  </m:acc>
                </m:e>
              </m:nary>
            </m:oMath>
            <w:r w:rsidRPr="00690745">
              <w:rPr>
                <w:rFonts w:eastAsia="DengXian"/>
                <w:iCs/>
                <w:color w:val="auto"/>
              </w:rPr>
              <w:t>,</w:t>
            </w:r>
          </w:p>
        </w:tc>
        <w:tc>
          <w:tcPr>
            <w:tcW w:w="430" w:type="dxa"/>
            <w:shd w:val="clear" w:color="auto" w:fill="auto"/>
            <w:vAlign w:val="center"/>
          </w:tcPr>
          <w:p w14:paraId="51FBB258" w14:textId="2673273E" w:rsidR="00257B12" w:rsidRPr="00690745" w:rsidRDefault="00257B12" w:rsidP="0017359C">
            <w:pPr>
              <w:tabs>
                <w:tab w:val="left" w:pos="720"/>
                <w:tab w:val="center" w:pos="4680"/>
                <w:tab w:val="right" w:pos="9000"/>
              </w:tabs>
              <w:spacing w:before="120" w:after="120"/>
              <w:jc w:val="right"/>
              <w:rPr>
                <w:rFonts w:eastAsia="DengXian"/>
                <w:iCs/>
                <w:color w:val="auto"/>
              </w:rPr>
            </w:pPr>
            <w:r w:rsidRPr="00690745">
              <w:rPr>
                <w:rFonts w:eastAsia="DengXian"/>
                <w:iCs/>
                <w:color w:val="auto"/>
              </w:rPr>
              <w:t>(</w:t>
            </w:r>
            <w:r w:rsidRPr="00690745">
              <w:rPr>
                <w:rFonts w:eastAsia="DengXian"/>
                <w:iCs/>
                <w:color w:val="auto"/>
              </w:rPr>
              <w:fldChar w:fldCharType="begin"/>
            </w:r>
            <w:r w:rsidRPr="00690745">
              <w:rPr>
                <w:rFonts w:eastAsia="DengXian"/>
                <w:iCs/>
                <w:color w:val="auto"/>
              </w:rPr>
              <w:instrText xml:space="preserve"> seq EquationSeq \* \Arabic </w:instrText>
            </w:r>
            <w:r w:rsidRPr="00690745">
              <w:rPr>
                <w:rFonts w:eastAsia="DengXian"/>
                <w:iCs/>
                <w:color w:val="auto"/>
              </w:rPr>
              <w:fldChar w:fldCharType="separate"/>
            </w:r>
            <w:r w:rsidR="00794EC3">
              <w:rPr>
                <w:rFonts w:eastAsia="DengXian"/>
                <w:iCs/>
                <w:color w:val="auto"/>
              </w:rPr>
              <w:t>13</w:t>
            </w:r>
            <w:r w:rsidRPr="00690745">
              <w:rPr>
                <w:rFonts w:eastAsia="DengXian"/>
                <w:iCs/>
                <w:color w:val="auto"/>
              </w:rPr>
              <w:fldChar w:fldCharType="end"/>
            </w:r>
            <w:r w:rsidRPr="00690745">
              <w:rPr>
                <w:rFonts w:eastAsia="DengXian"/>
                <w:iCs/>
                <w:color w:val="auto"/>
              </w:rPr>
              <w:t>)</w:t>
            </w:r>
          </w:p>
        </w:tc>
      </w:tr>
    </w:tbl>
    <w:p w14:paraId="508F9767" w14:textId="27D96541" w:rsidR="00257B12" w:rsidRPr="00690745" w:rsidRDefault="00257B12" w:rsidP="000676A0">
      <w:pPr>
        <w:pStyle w:val="MDPI32textnoindent"/>
        <w:rPr>
          <w:color w:val="auto"/>
        </w:rPr>
      </w:pPr>
      <w:r w:rsidRPr="00690745">
        <w:rPr>
          <w:color w:val="auto"/>
        </w:rPr>
        <w:lastRenderedPageBreak/>
        <w:t xml:space="preserve">was minimized. A target value of </w:t>
      </w:r>
      <w:r w:rsidR="00047D86" w:rsidRPr="00690745">
        <w:rPr>
          <w:color w:val="auto"/>
        </w:rPr>
        <w:t>D = 1</w:t>
      </w:r>
      <w:r w:rsidRPr="00690745">
        <w:rPr>
          <w:color w:val="auto"/>
        </w:rPr>
        <w:t>, corresponding to material failure, was used in the optimization code for calculating error.</w:t>
      </w:r>
    </w:p>
    <w:p w14:paraId="5CCAD33A" w14:textId="77777777" w:rsidR="00383D7F" w:rsidRDefault="00383D7F" w:rsidP="000676A0">
      <w:pPr>
        <w:pStyle w:val="MDPI21heading1"/>
        <w:rPr>
          <w:color w:val="auto"/>
        </w:rPr>
      </w:pPr>
    </w:p>
    <w:p w14:paraId="2FB03BF0" w14:textId="24333D7E" w:rsidR="00257B12" w:rsidRPr="00E605D4" w:rsidRDefault="000676A0" w:rsidP="000676A0">
      <w:pPr>
        <w:pStyle w:val="MDPI21heading1"/>
        <w:rPr>
          <w:color w:val="auto"/>
        </w:rPr>
      </w:pPr>
      <w:r w:rsidRPr="00E605D4">
        <w:rPr>
          <w:color w:val="auto"/>
        </w:rPr>
        <w:t xml:space="preserve">3. </w:t>
      </w:r>
      <w:r w:rsidR="00257B12" w:rsidRPr="00E605D4">
        <w:rPr>
          <w:color w:val="auto"/>
        </w:rPr>
        <w:t>Results and Discussion</w:t>
      </w:r>
    </w:p>
    <w:p w14:paraId="16F820C9" w14:textId="1F7B4A73" w:rsidR="00257B12" w:rsidRPr="00E605D4" w:rsidRDefault="000676A0" w:rsidP="000676A0">
      <w:pPr>
        <w:pStyle w:val="MDPI22heading2"/>
        <w:rPr>
          <w:color w:val="auto"/>
        </w:rPr>
      </w:pPr>
      <w:r w:rsidRPr="00E605D4">
        <w:rPr>
          <w:color w:val="auto"/>
        </w:rPr>
        <w:t xml:space="preserve">3.1. </w:t>
      </w:r>
      <w:r w:rsidR="00257B12" w:rsidRPr="00E605D4">
        <w:rPr>
          <w:color w:val="auto"/>
        </w:rPr>
        <w:t xml:space="preserve">Effect of </w:t>
      </w:r>
      <w:r w:rsidR="00A9094A" w:rsidRPr="00E605D4">
        <w:rPr>
          <w:color w:val="auto"/>
        </w:rPr>
        <w:t xml:space="preserve">Pores </w:t>
      </w:r>
      <w:r w:rsidR="00257B12" w:rsidRPr="00E605D4">
        <w:rPr>
          <w:color w:val="auto"/>
        </w:rPr>
        <w:t xml:space="preserve">in </w:t>
      </w:r>
      <w:r w:rsidR="00A9094A" w:rsidRPr="00E605D4">
        <w:rPr>
          <w:color w:val="auto"/>
        </w:rPr>
        <w:t>Equivalent Strain</w:t>
      </w:r>
      <w:r w:rsidR="00257B12" w:rsidRPr="00E605D4">
        <w:rPr>
          <w:color w:val="auto"/>
        </w:rPr>
        <w:t xml:space="preserve"> versus </w:t>
      </w:r>
      <w:r w:rsidR="00A9094A" w:rsidRPr="00E605D4">
        <w:rPr>
          <w:color w:val="auto"/>
        </w:rPr>
        <w:t xml:space="preserve">Stress Triaxiality </w:t>
      </w:r>
      <w:r w:rsidR="00257B12" w:rsidRPr="00E605D4">
        <w:rPr>
          <w:color w:val="auto"/>
        </w:rPr>
        <w:t xml:space="preserve">and Lode </w:t>
      </w:r>
      <w:r w:rsidR="00A9094A" w:rsidRPr="00E605D4">
        <w:rPr>
          <w:color w:val="auto"/>
        </w:rPr>
        <w:t>Angle Parameter Space</w:t>
      </w:r>
    </w:p>
    <w:p w14:paraId="480E7425" w14:textId="5C522017" w:rsidR="00257B12" w:rsidRPr="00E605D4" w:rsidRDefault="00257B12" w:rsidP="000676A0">
      <w:pPr>
        <w:pStyle w:val="MDPI31text"/>
        <w:rPr>
          <w:color w:val="auto"/>
        </w:rPr>
      </w:pPr>
      <w:r w:rsidRPr="00E605D4">
        <w:rPr>
          <w:color w:val="auto"/>
        </w:rPr>
        <w:t xml:space="preserve">The results from the models in the equivalent plastic strain space will first be discussed because these models are most often used when describing ductile failure behavior and provided a baseline performance with which the equivalent stress-based models were contrasted. The results of the strain-based fracture model calibration for both the MMC and strain-based HC model are shown in Figure 3 and the resulting model parameters are given in </w:t>
      </w:r>
      <w:r w:rsidRPr="00012208">
        <w:rPr>
          <w:color w:val="auto"/>
        </w:rPr>
        <w:t>Table</w:t>
      </w:r>
      <w:r w:rsidR="00A9094A" w:rsidRPr="00012208">
        <w:rPr>
          <w:color w:val="auto"/>
        </w:rPr>
        <w:t>s</w:t>
      </w:r>
      <w:r w:rsidRPr="00012208">
        <w:rPr>
          <w:color w:val="auto"/>
        </w:rPr>
        <w:t xml:space="preserve"> 3</w:t>
      </w:r>
      <w:r w:rsidRPr="00E605D4">
        <w:rPr>
          <w:color w:val="auto"/>
        </w:rPr>
        <w:t xml:space="preserve"> and 4.</w:t>
      </w:r>
    </w:p>
    <w:p w14:paraId="6D8A80F6" w14:textId="77777777" w:rsidR="00257B12" w:rsidRPr="00E605D4" w:rsidRDefault="00257B12" w:rsidP="000676A0">
      <w:pPr>
        <w:pStyle w:val="MDPI52figure"/>
        <w:rPr>
          <w:color w:val="auto"/>
        </w:rPr>
      </w:pPr>
      <w:r w:rsidRPr="00E605D4">
        <w:rPr>
          <w:noProof/>
          <w:color w:val="auto"/>
        </w:rPr>
        <w:drawing>
          <wp:inline distT="0" distB="0" distL="0" distR="0" wp14:anchorId="08C3FEA2" wp14:editId="3E9AAA45">
            <wp:extent cx="5940856" cy="3337560"/>
            <wp:effectExtent l="0" t="0" r="3175" b="0"/>
            <wp:docPr id="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0856" cy="3337560"/>
                    </a:xfrm>
                    <a:prstGeom prst="rect">
                      <a:avLst/>
                    </a:prstGeom>
                    <a:noFill/>
                    <a:ln>
                      <a:noFill/>
                    </a:ln>
                  </pic:spPr>
                </pic:pic>
              </a:graphicData>
            </a:graphic>
          </wp:inline>
        </w:drawing>
      </w:r>
    </w:p>
    <w:p w14:paraId="75824F2E" w14:textId="14005BA9" w:rsidR="00257B12" w:rsidRPr="00E605D4" w:rsidRDefault="000676A0" w:rsidP="000676A0">
      <w:pPr>
        <w:pStyle w:val="MDPI51figurecaption"/>
        <w:ind w:left="425" w:right="425"/>
        <w:jc w:val="both"/>
        <w:rPr>
          <w:color w:val="auto"/>
        </w:rPr>
      </w:pPr>
      <w:r w:rsidRPr="00E605D4">
        <w:rPr>
          <w:b/>
          <w:bCs/>
          <w:color w:val="auto"/>
        </w:rPr>
        <w:t xml:space="preserve">Figure 3. </w:t>
      </w:r>
      <w:r w:rsidR="00257B12" w:rsidRPr="00E605D4">
        <w:rPr>
          <w:color w:val="auto"/>
        </w:rPr>
        <w:t>Damage accumulation at fracture for (</w:t>
      </w:r>
      <w:proofErr w:type="spellStart"/>
      <w:proofErr w:type="gramStart"/>
      <w:r w:rsidR="00257B12" w:rsidRPr="00A9094A">
        <w:rPr>
          <w:b/>
          <w:color w:val="auto"/>
        </w:rPr>
        <w:t>a</w:t>
      </w:r>
      <w:r w:rsidR="00257B12" w:rsidRPr="00E605D4">
        <w:rPr>
          <w:color w:val="auto"/>
        </w:rPr>
        <w:t>,</w:t>
      </w:r>
      <w:r w:rsidR="00257B12" w:rsidRPr="00A9094A">
        <w:rPr>
          <w:b/>
          <w:color w:val="auto"/>
        </w:rPr>
        <w:t>b</w:t>
      </w:r>
      <w:proofErr w:type="spellEnd"/>
      <w:proofErr w:type="gramEnd"/>
      <w:r w:rsidR="00257B12" w:rsidRPr="00E605D4">
        <w:rPr>
          <w:color w:val="auto"/>
        </w:rPr>
        <w:t>) 316L and (</w:t>
      </w:r>
      <w:proofErr w:type="spellStart"/>
      <w:r w:rsidR="00257B12" w:rsidRPr="00A9094A">
        <w:rPr>
          <w:b/>
          <w:color w:val="auto"/>
        </w:rPr>
        <w:t>c</w:t>
      </w:r>
      <w:r w:rsidR="00257B12" w:rsidRPr="00E605D4">
        <w:rPr>
          <w:color w:val="auto"/>
        </w:rPr>
        <w:t>,</w:t>
      </w:r>
      <w:r w:rsidR="00257B12" w:rsidRPr="00A9094A">
        <w:rPr>
          <w:b/>
          <w:color w:val="auto"/>
        </w:rPr>
        <w:t>d</w:t>
      </w:r>
      <w:proofErr w:type="spellEnd"/>
      <w:r w:rsidR="00257B12" w:rsidRPr="00E605D4">
        <w:rPr>
          <w:color w:val="auto"/>
        </w:rPr>
        <w:t>) Ti-6Al-4V using the calibrated (</w:t>
      </w:r>
      <w:proofErr w:type="spellStart"/>
      <w:r w:rsidR="00257B12" w:rsidRPr="00A9094A">
        <w:rPr>
          <w:b/>
          <w:color w:val="auto"/>
        </w:rPr>
        <w:t>a</w:t>
      </w:r>
      <w:r w:rsidR="00257B12" w:rsidRPr="00E605D4">
        <w:rPr>
          <w:color w:val="auto"/>
        </w:rPr>
        <w:t>,</w:t>
      </w:r>
      <w:r w:rsidR="00257B12" w:rsidRPr="00A9094A">
        <w:rPr>
          <w:b/>
          <w:color w:val="auto"/>
        </w:rPr>
        <w:t>c</w:t>
      </w:r>
      <w:proofErr w:type="spellEnd"/>
      <w:r w:rsidR="00257B12" w:rsidRPr="00E605D4">
        <w:rPr>
          <w:color w:val="auto"/>
        </w:rPr>
        <w:t>) modified Mohr-Coulomb and (</w:t>
      </w:r>
      <w:proofErr w:type="spellStart"/>
      <w:r w:rsidR="00257B12" w:rsidRPr="00A9094A">
        <w:rPr>
          <w:b/>
          <w:color w:val="auto"/>
        </w:rPr>
        <w:t>b</w:t>
      </w:r>
      <w:r w:rsidR="00257B12" w:rsidRPr="00E605D4">
        <w:rPr>
          <w:color w:val="auto"/>
        </w:rPr>
        <w:t>,</w:t>
      </w:r>
      <w:r w:rsidR="00257B12" w:rsidRPr="00A9094A">
        <w:rPr>
          <w:b/>
          <w:color w:val="auto"/>
        </w:rPr>
        <w:t>d</w:t>
      </w:r>
      <w:proofErr w:type="spellEnd"/>
      <w:r w:rsidR="00257B12" w:rsidRPr="00E605D4">
        <w:rPr>
          <w:color w:val="auto"/>
        </w:rPr>
        <w:t>)</w:t>
      </w:r>
      <w:r w:rsidRPr="00E605D4">
        <w:rPr>
          <w:color w:val="auto"/>
        </w:rPr>
        <w:t xml:space="preserve"> </w:t>
      </w:r>
      <w:r w:rsidR="00257B12" w:rsidRPr="00E605D4">
        <w:rPr>
          <w:color w:val="auto"/>
        </w:rPr>
        <w:t>Hosford-Coulomb models. The dashed line at a value of damage equal to one represents perfect agreement between the model and the experimental/simulation data for each test. Numbers on the horizontal axes denote the pore diameter at the center of the samples.</w:t>
      </w:r>
    </w:p>
    <w:p w14:paraId="2324949E" w14:textId="2B784343" w:rsidR="00257B12" w:rsidRPr="00E605D4" w:rsidRDefault="000676A0" w:rsidP="000676A0">
      <w:pPr>
        <w:pStyle w:val="MDPI41tablecaption"/>
        <w:jc w:val="both"/>
        <w:rPr>
          <w:color w:val="auto"/>
        </w:rPr>
      </w:pPr>
      <w:bookmarkStart w:id="10" w:name="_Ref72843948"/>
      <w:r w:rsidRPr="00A9094A">
        <w:rPr>
          <w:b/>
          <w:bCs/>
          <w:color w:val="auto"/>
          <w:highlight w:val="yellow"/>
        </w:rPr>
        <w:t xml:space="preserve">Table </w:t>
      </w:r>
      <w:r w:rsidR="00B971E7">
        <w:rPr>
          <w:b/>
          <w:bCs/>
          <w:color w:val="auto"/>
          <w:highlight w:val="yellow"/>
        </w:rPr>
        <w:t>3</w:t>
      </w:r>
      <w:r w:rsidRPr="00A9094A">
        <w:rPr>
          <w:b/>
          <w:bCs/>
          <w:color w:val="auto"/>
          <w:highlight w:val="yellow"/>
        </w:rPr>
        <w:t xml:space="preserve">. </w:t>
      </w:r>
      <w:r w:rsidR="00257B12" w:rsidRPr="00E605D4">
        <w:rPr>
          <w:color w:val="auto"/>
        </w:rPr>
        <w:t xml:space="preserve">Calibrated strain-based ductile fracture model parameters for 316L using data from dense pure shear and </w:t>
      </w:r>
      <w:proofErr w:type="spellStart"/>
      <w:r w:rsidR="00257B12" w:rsidRPr="00E605D4">
        <w:rPr>
          <w:color w:val="auto"/>
        </w:rPr>
        <w:t>equibiaxial</w:t>
      </w:r>
      <w:proofErr w:type="spellEnd"/>
      <w:r w:rsidR="00257B12" w:rsidRPr="00E605D4">
        <w:rPr>
          <w:color w:val="auto"/>
        </w:rPr>
        <w:t xml:space="preserve"> tension tests combined with dense, 300 µm, 600 µm, 1200 µm, and 2400 µm pore round notched tension Table 1. which represents perfect model agreement with experiments.</w:t>
      </w:r>
      <w:bookmarkEnd w:id="10"/>
    </w:p>
    <w:tbl>
      <w:tblPr>
        <w:tblW w:w="7857" w:type="dxa"/>
        <w:tblInd w:w="2608" w:type="dxa"/>
        <w:tblLayout w:type="fixed"/>
        <w:tblCellMar>
          <w:left w:w="0" w:type="dxa"/>
          <w:right w:w="0" w:type="dxa"/>
        </w:tblCellMar>
        <w:tblLook w:val="0420" w:firstRow="1" w:lastRow="0" w:firstColumn="0" w:lastColumn="0" w:noHBand="0" w:noVBand="1"/>
      </w:tblPr>
      <w:tblGrid>
        <w:gridCol w:w="1319"/>
        <w:gridCol w:w="929"/>
        <w:gridCol w:w="1114"/>
        <w:gridCol w:w="1114"/>
        <w:gridCol w:w="1114"/>
        <w:gridCol w:w="1114"/>
        <w:gridCol w:w="1153"/>
      </w:tblGrid>
      <w:tr w:rsidR="00690745" w:rsidRPr="00E605D4" w14:paraId="2799A424" w14:textId="77777777" w:rsidTr="00D12BE5">
        <w:trPr>
          <w:cantSplit/>
        </w:trPr>
        <w:tc>
          <w:tcPr>
            <w:tcW w:w="2248" w:type="dxa"/>
            <w:gridSpan w:val="2"/>
            <w:vMerge w:val="restart"/>
            <w:tcBorders>
              <w:top w:val="single" w:sz="8" w:space="0" w:color="auto"/>
              <w:left w:val="nil"/>
              <w:bottom w:val="single" w:sz="4" w:space="0" w:color="000000"/>
              <w:right w:val="nil"/>
            </w:tcBorders>
            <w:shd w:val="clear" w:color="auto" w:fill="auto"/>
            <w:tcMar>
              <w:top w:w="72" w:type="dxa"/>
              <w:left w:w="144" w:type="dxa"/>
              <w:bottom w:w="72" w:type="dxa"/>
              <w:right w:w="144" w:type="dxa"/>
            </w:tcMar>
            <w:vAlign w:val="center"/>
            <w:hideMark/>
          </w:tcPr>
          <w:p w14:paraId="4D664372"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r w:rsidRPr="00690745">
              <w:rPr>
                <w:rFonts w:eastAsia="Times New Roman"/>
                <w:b/>
                <w:bCs/>
                <w:color w:val="auto"/>
                <w:kern w:val="24"/>
                <w:sz w:val="18"/>
                <w:highlight w:val="yellow"/>
              </w:rPr>
              <w:t>L-PBF 316L</w:t>
            </w:r>
          </w:p>
        </w:tc>
        <w:tc>
          <w:tcPr>
            <w:tcW w:w="5609" w:type="dxa"/>
            <w:gridSpan w:val="5"/>
            <w:tcBorders>
              <w:top w:val="single" w:sz="8"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736424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Pore Diameter (µm)</w:t>
            </w:r>
          </w:p>
        </w:tc>
      </w:tr>
      <w:tr w:rsidR="00690745" w:rsidRPr="00E605D4" w14:paraId="62D13804" w14:textId="77777777" w:rsidTr="00D12BE5">
        <w:trPr>
          <w:cantSplit/>
        </w:trPr>
        <w:tc>
          <w:tcPr>
            <w:tcW w:w="2248" w:type="dxa"/>
            <w:gridSpan w:val="2"/>
            <w:vMerge/>
            <w:tcBorders>
              <w:top w:val="single" w:sz="8" w:space="0" w:color="000000"/>
              <w:left w:val="nil"/>
              <w:bottom w:val="single" w:sz="4" w:space="0" w:color="auto"/>
              <w:right w:val="nil"/>
            </w:tcBorders>
            <w:shd w:val="clear" w:color="auto" w:fill="auto"/>
            <w:vAlign w:val="center"/>
            <w:hideMark/>
          </w:tcPr>
          <w:p w14:paraId="4C3AC6B4"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p>
        </w:tc>
        <w:tc>
          <w:tcPr>
            <w:tcW w:w="1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5E5C82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Dense</w:t>
            </w:r>
          </w:p>
        </w:tc>
        <w:tc>
          <w:tcPr>
            <w:tcW w:w="1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5B3B3A3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300</w:t>
            </w:r>
          </w:p>
        </w:tc>
        <w:tc>
          <w:tcPr>
            <w:tcW w:w="1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A34E12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600</w:t>
            </w:r>
          </w:p>
        </w:tc>
        <w:tc>
          <w:tcPr>
            <w:tcW w:w="1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29ADEC6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1200</w:t>
            </w:r>
          </w:p>
        </w:tc>
        <w:tc>
          <w:tcPr>
            <w:tcW w:w="115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05332D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2400</w:t>
            </w:r>
          </w:p>
        </w:tc>
      </w:tr>
      <w:tr w:rsidR="00690745" w:rsidRPr="00E605D4" w14:paraId="7922B6F3" w14:textId="77777777" w:rsidTr="00391C21">
        <w:trPr>
          <w:cantSplit/>
        </w:trPr>
        <w:tc>
          <w:tcPr>
            <w:tcW w:w="1319" w:type="dxa"/>
            <w:vMerge w:val="restart"/>
            <w:tcBorders>
              <w:top w:val="single" w:sz="4" w:space="0" w:color="auto"/>
              <w:left w:val="nil"/>
              <w:bottom w:val="single" w:sz="4" w:space="0" w:color="000000"/>
              <w:right w:val="nil"/>
            </w:tcBorders>
            <w:shd w:val="clear" w:color="auto" w:fill="auto"/>
            <w:tcMar>
              <w:top w:w="72" w:type="dxa"/>
              <w:left w:w="144" w:type="dxa"/>
              <w:bottom w:w="72" w:type="dxa"/>
              <w:right w:w="144" w:type="dxa"/>
            </w:tcMar>
            <w:textDirection w:val="btLr"/>
            <w:vAlign w:val="center"/>
            <w:hideMark/>
          </w:tcPr>
          <w:p w14:paraId="0F5EE538"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r w:rsidRPr="00690745">
              <w:rPr>
                <w:rFonts w:eastAsia="Times New Roman"/>
                <w:b/>
                <w:bCs/>
                <w:color w:val="auto"/>
                <w:kern w:val="24"/>
                <w:sz w:val="18"/>
                <w:highlight w:val="yellow"/>
              </w:rPr>
              <w:t>Modified Mohr-Coulomb</w:t>
            </w:r>
          </w:p>
        </w:tc>
        <w:tc>
          <w:tcPr>
            <w:tcW w:w="929"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468C612C"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1</m:t>
                    </m:r>
                  </m:sub>
                </m:sSub>
              </m:oMath>
            </m:oMathPara>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1278A7E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0.724</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9CF323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0.627</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CC6899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0.672</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799AB1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0.804</w:t>
            </w:r>
          </w:p>
        </w:tc>
        <w:tc>
          <w:tcPr>
            <w:tcW w:w="115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D44880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1.026</w:t>
            </w:r>
          </w:p>
        </w:tc>
      </w:tr>
      <w:tr w:rsidR="00257B12" w:rsidRPr="00E605D4" w14:paraId="4145B4CC" w14:textId="77777777" w:rsidTr="00391C21">
        <w:trPr>
          <w:cantSplit/>
        </w:trPr>
        <w:tc>
          <w:tcPr>
            <w:tcW w:w="1319" w:type="dxa"/>
            <w:vMerge/>
            <w:tcBorders>
              <w:top w:val="single" w:sz="8" w:space="0" w:color="000000"/>
              <w:left w:val="nil"/>
              <w:bottom w:val="single" w:sz="4" w:space="0" w:color="000000"/>
              <w:right w:val="nil"/>
            </w:tcBorders>
            <w:shd w:val="clear" w:color="auto" w:fill="auto"/>
            <w:vAlign w:val="center"/>
            <w:hideMark/>
          </w:tcPr>
          <w:p w14:paraId="43D17CCA"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56AD3C9B"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2</m:t>
                    </m:r>
                  </m:sub>
                </m:sSub>
              </m:oMath>
            </m:oMathPara>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EFADD6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1665</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090B884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1292</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1A774AC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1256</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6D7BB4D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1225</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3DD5771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1190</w:t>
            </w:r>
          </w:p>
        </w:tc>
      </w:tr>
      <w:tr w:rsidR="00257B12" w:rsidRPr="00E605D4" w14:paraId="50E16291" w14:textId="77777777" w:rsidTr="00391C21">
        <w:trPr>
          <w:cantSplit/>
        </w:trPr>
        <w:tc>
          <w:tcPr>
            <w:tcW w:w="1319" w:type="dxa"/>
            <w:vMerge/>
            <w:tcBorders>
              <w:top w:val="single" w:sz="8" w:space="0" w:color="000000"/>
              <w:left w:val="nil"/>
              <w:bottom w:val="single" w:sz="4" w:space="0" w:color="000000"/>
              <w:right w:val="nil"/>
            </w:tcBorders>
            <w:shd w:val="clear" w:color="auto" w:fill="auto"/>
            <w:vAlign w:val="center"/>
            <w:hideMark/>
          </w:tcPr>
          <w:p w14:paraId="2A35C5FC"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6BF92026"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Sup>
                  <m:sSubSupPr>
                    <m:ctrlPr>
                      <w:rPr>
                        <w:rFonts w:ascii="Cambria Math" w:eastAsia="Times New Roman" w:hAnsi="Cambria Math"/>
                        <w:b/>
                        <w:bCs/>
                        <w:i/>
                        <w:iCs/>
                        <w:color w:val="auto"/>
                        <w:kern w:val="24"/>
                        <w:sz w:val="18"/>
                        <w:highlight w:val="yellow"/>
                      </w:rPr>
                    </m:ctrlPr>
                  </m:sSubSup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lang w:val="el-GR"/>
                      </w:rPr>
                      <m:t>θ</m:t>
                    </m:r>
                  </m:sub>
                  <m:sup>
                    <m:r>
                      <m:rPr>
                        <m:sty m:val="bi"/>
                      </m:rPr>
                      <w:rPr>
                        <w:rFonts w:ascii="Cambria Math" w:eastAsia="Times New Roman" w:hAnsi="Cambria Math"/>
                        <w:color w:val="auto"/>
                        <w:kern w:val="24"/>
                        <w:sz w:val="18"/>
                        <w:highlight w:val="yellow"/>
                      </w:rPr>
                      <m:t>s</m:t>
                    </m:r>
                  </m:sup>
                </m:sSubSup>
              </m:oMath>
            </m:oMathPara>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F53363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1.99</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653786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1.61</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0B3DF50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1.53</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62ED2A6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1.41</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3F80F26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1.23</w:t>
            </w:r>
          </w:p>
        </w:tc>
      </w:tr>
      <w:tr w:rsidR="00257B12" w:rsidRPr="00E605D4" w14:paraId="4B94A173" w14:textId="77777777" w:rsidTr="00391C21">
        <w:trPr>
          <w:cantSplit/>
        </w:trPr>
        <w:tc>
          <w:tcPr>
            <w:tcW w:w="1319" w:type="dxa"/>
            <w:vMerge/>
            <w:tcBorders>
              <w:top w:val="single" w:sz="8" w:space="0" w:color="000000"/>
              <w:left w:val="nil"/>
              <w:bottom w:val="single" w:sz="4" w:space="0" w:color="000000"/>
              <w:right w:val="nil"/>
            </w:tcBorders>
            <w:shd w:val="clear" w:color="auto" w:fill="auto"/>
            <w:vAlign w:val="center"/>
            <w:hideMark/>
          </w:tcPr>
          <w:p w14:paraId="718F312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1D5CEB1A"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Sup>
                  <m:sSubSupPr>
                    <m:ctrlPr>
                      <w:rPr>
                        <w:rFonts w:ascii="Cambria Math" w:eastAsia="Times New Roman" w:hAnsi="Cambria Math"/>
                        <w:b/>
                        <w:bCs/>
                        <w:i/>
                        <w:iCs/>
                        <w:color w:val="auto"/>
                        <w:kern w:val="24"/>
                        <w:sz w:val="18"/>
                        <w:highlight w:val="yellow"/>
                      </w:rPr>
                    </m:ctrlPr>
                  </m:sSubSup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lang w:val="el-GR"/>
                      </w:rPr>
                      <m:t>θ</m:t>
                    </m:r>
                  </m:sub>
                  <m:sup>
                    <m:r>
                      <m:rPr>
                        <m:sty m:val="bi"/>
                      </m:rPr>
                      <w:rPr>
                        <w:rFonts w:ascii="Cambria Math" w:eastAsia="Times New Roman" w:hAnsi="Cambria Math"/>
                        <w:color w:val="auto"/>
                        <w:kern w:val="24"/>
                        <w:sz w:val="18"/>
                        <w:highlight w:val="yellow"/>
                      </w:rPr>
                      <m:t>c</m:t>
                    </m:r>
                  </m:sup>
                </m:sSubSup>
              </m:oMath>
            </m:oMathPara>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10B400C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0.995</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648E1B2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0.981</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3AB4404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0.917</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30126B2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0.8</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4DA4EFE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0.623</w:t>
            </w:r>
          </w:p>
        </w:tc>
      </w:tr>
      <w:tr w:rsidR="00690745" w:rsidRPr="00E605D4" w14:paraId="2CAE0C85" w14:textId="77777777" w:rsidTr="00391C21">
        <w:trPr>
          <w:cantSplit/>
        </w:trPr>
        <w:tc>
          <w:tcPr>
            <w:tcW w:w="1319" w:type="dxa"/>
            <w:vMerge/>
            <w:tcBorders>
              <w:top w:val="single" w:sz="8" w:space="0" w:color="000000"/>
              <w:left w:val="nil"/>
              <w:bottom w:val="single" w:sz="4" w:space="0" w:color="auto"/>
              <w:right w:val="nil"/>
            </w:tcBorders>
            <w:shd w:val="clear" w:color="auto" w:fill="auto"/>
            <w:vAlign w:val="center"/>
            <w:hideMark/>
          </w:tcPr>
          <w:p w14:paraId="20029085"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929"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1D6F0CB2"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11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846BBF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5.8%</w:t>
            </w:r>
          </w:p>
        </w:tc>
        <w:tc>
          <w:tcPr>
            <w:tcW w:w="111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CA6C30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4.3%</w:t>
            </w:r>
          </w:p>
        </w:tc>
        <w:tc>
          <w:tcPr>
            <w:tcW w:w="111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494055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1.7%</w:t>
            </w:r>
          </w:p>
        </w:tc>
        <w:tc>
          <w:tcPr>
            <w:tcW w:w="111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D9E67E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4.3%</w:t>
            </w:r>
          </w:p>
        </w:tc>
        <w:tc>
          <w:tcPr>
            <w:tcW w:w="115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104B55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7.3%</w:t>
            </w:r>
          </w:p>
        </w:tc>
      </w:tr>
      <w:tr w:rsidR="00690745" w:rsidRPr="00E605D4" w14:paraId="03EDD8B4" w14:textId="77777777" w:rsidTr="00391C21">
        <w:trPr>
          <w:cantSplit/>
        </w:trPr>
        <w:tc>
          <w:tcPr>
            <w:tcW w:w="1319"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2C232774" w14:textId="6C164AB5"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Hosford-Coulomb</w:t>
            </w:r>
          </w:p>
        </w:tc>
        <w:tc>
          <w:tcPr>
            <w:tcW w:w="929"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5BAD6A0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a</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6C8E79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0.551</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46A779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0.562</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37976A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0.705</w:t>
            </w:r>
          </w:p>
        </w:tc>
        <w:tc>
          <w:tcPr>
            <w:tcW w:w="1114"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65C9A60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1.04</w:t>
            </w:r>
          </w:p>
        </w:tc>
        <w:tc>
          <w:tcPr>
            <w:tcW w:w="1153"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3F25D3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1.16</w:t>
            </w:r>
          </w:p>
        </w:tc>
      </w:tr>
      <w:tr w:rsidR="00257B12" w:rsidRPr="00E605D4" w14:paraId="14D12327" w14:textId="77777777" w:rsidTr="00D12BE5">
        <w:trPr>
          <w:cantSplit/>
        </w:trPr>
        <w:tc>
          <w:tcPr>
            <w:tcW w:w="1319" w:type="dxa"/>
            <w:vMerge/>
            <w:tcBorders>
              <w:top w:val="single" w:sz="8" w:space="0" w:color="000000"/>
              <w:left w:val="nil"/>
              <w:bottom w:val="single" w:sz="8" w:space="0" w:color="000000"/>
              <w:right w:val="nil"/>
            </w:tcBorders>
            <w:shd w:val="clear" w:color="auto" w:fill="auto"/>
            <w:vAlign w:val="center"/>
            <w:hideMark/>
          </w:tcPr>
          <w:p w14:paraId="569F11D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2F7C0B2C"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b</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4C554F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1.34</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6158D06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1.34</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27410A3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1.09</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0531BC4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0.688</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60115AB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0.553</w:t>
            </w:r>
          </w:p>
        </w:tc>
      </w:tr>
      <w:tr w:rsidR="00257B12" w:rsidRPr="00E605D4" w14:paraId="31B9512C" w14:textId="77777777" w:rsidTr="00D12BE5">
        <w:trPr>
          <w:cantSplit/>
        </w:trPr>
        <w:tc>
          <w:tcPr>
            <w:tcW w:w="1319" w:type="dxa"/>
            <w:vMerge/>
            <w:tcBorders>
              <w:top w:val="single" w:sz="8" w:space="0" w:color="000000"/>
              <w:left w:val="nil"/>
              <w:bottom w:val="single" w:sz="8" w:space="0" w:color="000000"/>
              <w:right w:val="nil"/>
            </w:tcBorders>
            <w:shd w:val="clear" w:color="auto" w:fill="auto"/>
            <w:vAlign w:val="center"/>
            <w:hideMark/>
          </w:tcPr>
          <w:p w14:paraId="363E436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0DAC445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c</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24C5D455"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0.274</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546F92D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0.32</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5761841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0.249</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531570D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0.24</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78961BE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0.267</w:t>
            </w:r>
          </w:p>
        </w:tc>
      </w:tr>
      <w:tr w:rsidR="00257B12" w:rsidRPr="00E605D4" w14:paraId="6F46142D" w14:textId="77777777" w:rsidTr="00D12BE5">
        <w:trPr>
          <w:cantSplit/>
        </w:trPr>
        <w:tc>
          <w:tcPr>
            <w:tcW w:w="1319" w:type="dxa"/>
            <w:vMerge/>
            <w:tcBorders>
              <w:top w:val="single" w:sz="8" w:space="0" w:color="000000"/>
              <w:left w:val="nil"/>
              <w:bottom w:val="single" w:sz="8" w:space="0" w:color="000000"/>
              <w:right w:val="nil"/>
            </w:tcBorders>
            <w:shd w:val="clear" w:color="auto" w:fill="auto"/>
            <w:vAlign w:val="center"/>
            <w:hideMark/>
          </w:tcPr>
          <w:p w14:paraId="2D6BE05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p>
        </w:tc>
        <w:tc>
          <w:tcPr>
            <w:tcW w:w="929" w:type="dxa"/>
            <w:tcBorders>
              <w:top w:val="nil"/>
              <w:left w:val="nil"/>
              <w:bottom w:val="nil"/>
              <w:right w:val="nil"/>
            </w:tcBorders>
            <w:shd w:val="clear" w:color="auto" w:fill="auto"/>
            <w:tcMar>
              <w:top w:w="72" w:type="dxa"/>
              <w:left w:w="144" w:type="dxa"/>
              <w:bottom w:w="72" w:type="dxa"/>
              <w:right w:w="144" w:type="dxa"/>
            </w:tcMar>
            <w:vAlign w:val="center"/>
            <w:hideMark/>
          </w:tcPr>
          <w:p w14:paraId="1E8993BD"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d</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1EF58D5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0.473</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4D3CB1C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0.352</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2C7CF15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0.309</w:t>
            </w:r>
          </w:p>
        </w:tc>
        <w:tc>
          <w:tcPr>
            <w:tcW w:w="1114" w:type="dxa"/>
            <w:tcBorders>
              <w:top w:val="nil"/>
              <w:left w:val="nil"/>
              <w:bottom w:val="nil"/>
              <w:right w:val="nil"/>
            </w:tcBorders>
            <w:shd w:val="clear" w:color="auto" w:fill="auto"/>
            <w:tcMar>
              <w:top w:w="15" w:type="dxa"/>
              <w:left w:w="15" w:type="dxa"/>
              <w:bottom w:w="0" w:type="dxa"/>
              <w:right w:w="15" w:type="dxa"/>
            </w:tcMar>
            <w:vAlign w:val="center"/>
            <w:hideMark/>
          </w:tcPr>
          <w:p w14:paraId="50436C7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0.377</w:t>
            </w:r>
          </w:p>
        </w:tc>
        <w:tc>
          <w:tcPr>
            <w:tcW w:w="1153" w:type="dxa"/>
            <w:tcBorders>
              <w:top w:val="nil"/>
              <w:left w:val="nil"/>
              <w:bottom w:val="nil"/>
              <w:right w:val="nil"/>
            </w:tcBorders>
            <w:shd w:val="clear" w:color="auto" w:fill="auto"/>
            <w:tcMar>
              <w:top w:w="15" w:type="dxa"/>
              <w:left w:w="15" w:type="dxa"/>
              <w:bottom w:w="0" w:type="dxa"/>
              <w:right w:w="15" w:type="dxa"/>
            </w:tcMar>
            <w:vAlign w:val="center"/>
            <w:hideMark/>
          </w:tcPr>
          <w:p w14:paraId="45A53DF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0.321</w:t>
            </w:r>
          </w:p>
        </w:tc>
      </w:tr>
      <w:tr w:rsidR="00257B12" w:rsidRPr="00E605D4" w14:paraId="33923555" w14:textId="77777777" w:rsidTr="00D12BE5">
        <w:trPr>
          <w:cantSplit/>
        </w:trPr>
        <w:tc>
          <w:tcPr>
            <w:tcW w:w="1319" w:type="dxa"/>
            <w:vMerge/>
            <w:tcBorders>
              <w:top w:val="single" w:sz="8" w:space="0" w:color="000000"/>
              <w:left w:val="nil"/>
              <w:bottom w:val="single" w:sz="8" w:space="0" w:color="auto"/>
              <w:right w:val="nil"/>
            </w:tcBorders>
            <w:shd w:val="clear" w:color="auto" w:fill="auto"/>
            <w:vAlign w:val="center"/>
            <w:hideMark/>
          </w:tcPr>
          <w:p w14:paraId="6E80E31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p>
        </w:tc>
        <w:tc>
          <w:tcPr>
            <w:tcW w:w="929"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61946349"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11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14B1CC73"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7.1%</w:t>
            </w:r>
          </w:p>
        </w:tc>
        <w:tc>
          <w:tcPr>
            <w:tcW w:w="111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3FD24F5"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3.2%</w:t>
            </w:r>
          </w:p>
        </w:tc>
        <w:tc>
          <w:tcPr>
            <w:tcW w:w="111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217F81EE"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0.7%</w:t>
            </w:r>
          </w:p>
        </w:tc>
        <w:tc>
          <w:tcPr>
            <w:tcW w:w="1114"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33A84068"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5.5%</w:t>
            </w:r>
          </w:p>
        </w:tc>
        <w:tc>
          <w:tcPr>
            <w:tcW w:w="1153"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58BBB16B"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17%</w:t>
            </w:r>
          </w:p>
        </w:tc>
      </w:tr>
    </w:tbl>
    <w:p w14:paraId="0B14C118" w14:textId="77777777" w:rsidR="00257B12" w:rsidRPr="00E605D4" w:rsidRDefault="000676A0" w:rsidP="000676A0">
      <w:pPr>
        <w:pStyle w:val="MDPI41tablecaption"/>
        <w:jc w:val="both"/>
        <w:rPr>
          <w:color w:val="auto"/>
        </w:rPr>
      </w:pPr>
      <w:r w:rsidRPr="00E605D4">
        <w:rPr>
          <w:b/>
          <w:bCs/>
          <w:color w:val="auto"/>
        </w:rPr>
        <w:t xml:space="preserve">Table 4. </w:t>
      </w:r>
      <w:r w:rsidR="00257B12" w:rsidRPr="00E605D4">
        <w:rPr>
          <w:color w:val="auto"/>
        </w:rPr>
        <w:t xml:space="preserve">Calibrated strain-based ductile fracture model parameters for Ti-6Al-4V using data from dense pure shear and </w:t>
      </w:r>
      <w:proofErr w:type="spellStart"/>
      <w:r w:rsidR="00257B12" w:rsidRPr="00E605D4">
        <w:rPr>
          <w:color w:val="auto"/>
        </w:rPr>
        <w:t>equibiaxial</w:t>
      </w:r>
      <w:proofErr w:type="spellEnd"/>
      <w:r w:rsidR="00257B12" w:rsidRPr="00E605D4">
        <w:rPr>
          <w:color w:val="auto"/>
        </w:rPr>
        <w:t xml:space="preserve"> tension tests combined with dense, 300 µm, 600 µm, 1200 µm, and 2400 µm pore round notched tension tests. Error is mean absolute percentage error for the model-calibrated damage accumulation in all five tests compared to a damage value of 1, which represents perfect model agreement with experiments.</w:t>
      </w:r>
    </w:p>
    <w:tbl>
      <w:tblPr>
        <w:tblW w:w="7857" w:type="dxa"/>
        <w:tblInd w:w="2608" w:type="dxa"/>
        <w:tblLayout w:type="fixed"/>
        <w:tblCellMar>
          <w:left w:w="0" w:type="dxa"/>
          <w:right w:w="0" w:type="dxa"/>
        </w:tblCellMar>
        <w:tblLook w:val="0420" w:firstRow="1" w:lastRow="0" w:firstColumn="0" w:lastColumn="0" w:noHBand="0" w:noVBand="1"/>
      </w:tblPr>
      <w:tblGrid>
        <w:gridCol w:w="1114"/>
        <w:gridCol w:w="1134"/>
        <w:gridCol w:w="1114"/>
        <w:gridCol w:w="1114"/>
        <w:gridCol w:w="1114"/>
        <w:gridCol w:w="1114"/>
        <w:gridCol w:w="1153"/>
      </w:tblGrid>
      <w:tr w:rsidR="00690745" w:rsidRPr="00E605D4" w14:paraId="5EBE94F5" w14:textId="77777777" w:rsidTr="00690745">
        <w:trPr>
          <w:cantSplit/>
        </w:trPr>
        <w:tc>
          <w:tcPr>
            <w:tcW w:w="2070" w:type="dxa"/>
            <w:gridSpan w:val="2"/>
            <w:vMerge w:val="restart"/>
            <w:tcBorders>
              <w:top w:val="single" w:sz="8" w:space="0" w:color="auto"/>
              <w:left w:val="nil"/>
              <w:bottom w:val="single" w:sz="4" w:space="0" w:color="000000"/>
              <w:right w:val="nil"/>
            </w:tcBorders>
            <w:shd w:val="clear" w:color="auto" w:fill="auto"/>
            <w:tcMar>
              <w:top w:w="72" w:type="dxa"/>
              <w:left w:w="144" w:type="dxa"/>
              <w:bottom w:w="72" w:type="dxa"/>
              <w:right w:w="144" w:type="dxa"/>
            </w:tcMar>
            <w:vAlign w:val="center"/>
            <w:hideMark/>
          </w:tcPr>
          <w:p w14:paraId="36406693"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r w:rsidRPr="00E605D4">
              <w:rPr>
                <w:rFonts w:eastAsia="Times New Roman"/>
                <w:b/>
                <w:bCs/>
                <w:color w:val="auto"/>
                <w:kern w:val="24"/>
                <w:sz w:val="18"/>
              </w:rPr>
              <w:t>L-PBF Ti-6Al-4V</w:t>
            </w:r>
          </w:p>
        </w:tc>
        <w:tc>
          <w:tcPr>
            <w:tcW w:w="5166" w:type="dxa"/>
            <w:gridSpan w:val="5"/>
            <w:tcBorders>
              <w:top w:val="single" w:sz="8"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5FABD95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Pore Diameter (µm)</w:t>
            </w:r>
          </w:p>
        </w:tc>
      </w:tr>
      <w:tr w:rsidR="00690745" w:rsidRPr="00E605D4" w14:paraId="0FA34D53" w14:textId="77777777" w:rsidTr="00690745">
        <w:trPr>
          <w:cantSplit/>
        </w:trPr>
        <w:tc>
          <w:tcPr>
            <w:tcW w:w="2070" w:type="dxa"/>
            <w:gridSpan w:val="2"/>
            <w:vMerge/>
            <w:tcBorders>
              <w:top w:val="single" w:sz="8" w:space="0" w:color="000000"/>
              <w:left w:val="nil"/>
              <w:bottom w:val="single" w:sz="4" w:space="0" w:color="auto"/>
              <w:right w:val="nil"/>
            </w:tcBorders>
            <w:shd w:val="clear" w:color="auto" w:fill="auto"/>
            <w:vAlign w:val="center"/>
            <w:hideMark/>
          </w:tcPr>
          <w:p w14:paraId="5065627B" w14:textId="77777777" w:rsidR="00257B12" w:rsidRPr="00E605D4" w:rsidRDefault="00257B12" w:rsidP="000676A0">
            <w:pPr>
              <w:autoSpaceDE w:val="0"/>
              <w:autoSpaceDN w:val="0"/>
              <w:adjustRightInd w:val="0"/>
              <w:snapToGrid w:val="0"/>
              <w:spacing w:line="240" w:lineRule="auto"/>
              <w:jc w:val="center"/>
              <w:rPr>
                <w:rFonts w:eastAsia="Times New Roman" w:cs="Arial"/>
                <w:b/>
                <w:color w:val="auto"/>
                <w:sz w:val="18"/>
              </w:rPr>
            </w:pPr>
          </w:p>
        </w:tc>
        <w:tc>
          <w:tcPr>
            <w:tcW w:w="1026"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5C7FDC9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Dense</w:t>
            </w:r>
          </w:p>
        </w:tc>
        <w:tc>
          <w:tcPr>
            <w:tcW w:w="1026"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03EEA9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300</w:t>
            </w:r>
          </w:p>
        </w:tc>
        <w:tc>
          <w:tcPr>
            <w:tcW w:w="1026"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8B9A8B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600</w:t>
            </w:r>
          </w:p>
        </w:tc>
        <w:tc>
          <w:tcPr>
            <w:tcW w:w="1026"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58A9834"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1200</w:t>
            </w:r>
          </w:p>
        </w:tc>
        <w:tc>
          <w:tcPr>
            <w:tcW w:w="1062"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0FDB20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b/>
                <w:bCs/>
                <w:color w:val="auto"/>
                <w:kern w:val="24"/>
                <w:sz w:val="18"/>
              </w:rPr>
              <w:t>2400</w:t>
            </w:r>
          </w:p>
        </w:tc>
      </w:tr>
      <w:tr w:rsidR="00690745" w:rsidRPr="00E605D4" w14:paraId="21396E77" w14:textId="77777777" w:rsidTr="00391C21">
        <w:trPr>
          <w:cantSplit/>
        </w:trPr>
        <w:tc>
          <w:tcPr>
            <w:tcW w:w="1026" w:type="dxa"/>
            <w:vMerge w:val="restart"/>
            <w:tcBorders>
              <w:top w:val="single" w:sz="4" w:space="0" w:color="auto"/>
              <w:left w:val="nil"/>
              <w:bottom w:val="single" w:sz="4" w:space="0" w:color="000000"/>
              <w:right w:val="nil"/>
            </w:tcBorders>
            <w:shd w:val="clear" w:color="auto" w:fill="auto"/>
            <w:tcMar>
              <w:top w:w="72" w:type="dxa"/>
              <w:left w:w="144" w:type="dxa"/>
              <w:bottom w:w="72" w:type="dxa"/>
              <w:right w:w="144" w:type="dxa"/>
            </w:tcMar>
            <w:textDirection w:val="btLr"/>
            <w:vAlign w:val="center"/>
            <w:hideMark/>
          </w:tcPr>
          <w:p w14:paraId="06DA2506" w14:textId="77777777" w:rsidR="00257B12" w:rsidRPr="00690745" w:rsidRDefault="00257B12" w:rsidP="000676A0">
            <w:pPr>
              <w:autoSpaceDE w:val="0"/>
              <w:autoSpaceDN w:val="0"/>
              <w:adjustRightInd w:val="0"/>
              <w:snapToGrid w:val="0"/>
              <w:spacing w:line="240" w:lineRule="auto"/>
              <w:jc w:val="center"/>
              <w:rPr>
                <w:rFonts w:eastAsia="Times New Roman" w:cs="Arial"/>
                <w:b/>
                <w:color w:val="auto"/>
                <w:sz w:val="18"/>
                <w:highlight w:val="yellow"/>
              </w:rPr>
            </w:pPr>
            <w:r w:rsidRPr="00690745">
              <w:rPr>
                <w:rFonts w:eastAsia="Times New Roman"/>
                <w:b/>
                <w:bCs/>
                <w:color w:val="auto"/>
                <w:kern w:val="24"/>
                <w:sz w:val="18"/>
                <w:highlight w:val="yellow"/>
              </w:rPr>
              <w:t>Modified Mohr-Coulomb</w:t>
            </w:r>
          </w:p>
        </w:tc>
        <w:tc>
          <w:tcPr>
            <w:tcW w:w="1044"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79CB0FAC"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1</m:t>
                    </m:r>
                  </m:sub>
                </m:sSub>
              </m:oMath>
            </m:oMathPara>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E25380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0.069</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4E3A98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0.109</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CEB8E6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0.139</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3C3416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0.156</w:t>
            </w:r>
          </w:p>
        </w:tc>
        <w:tc>
          <w:tcPr>
            <w:tcW w:w="106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4B14F3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0.219</w:t>
            </w:r>
          </w:p>
        </w:tc>
      </w:tr>
      <w:tr w:rsidR="00257B12" w:rsidRPr="00E605D4" w14:paraId="26A67722" w14:textId="77777777" w:rsidTr="00391C21">
        <w:trPr>
          <w:cantSplit/>
        </w:trPr>
        <w:tc>
          <w:tcPr>
            <w:tcW w:w="1026" w:type="dxa"/>
            <w:vMerge/>
            <w:tcBorders>
              <w:top w:val="single" w:sz="8" w:space="0" w:color="000000"/>
              <w:left w:val="nil"/>
              <w:bottom w:val="single" w:sz="4" w:space="0" w:color="000000"/>
              <w:right w:val="nil"/>
            </w:tcBorders>
            <w:shd w:val="clear" w:color="auto" w:fill="auto"/>
            <w:vAlign w:val="center"/>
            <w:hideMark/>
          </w:tcPr>
          <w:p w14:paraId="334F9184"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0E8E36F8"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
                  <m:sSubPr>
                    <m:ctrlPr>
                      <w:rPr>
                        <w:rFonts w:ascii="Cambria Math" w:eastAsia="Times New Roman" w:hAnsi="Cambria Math"/>
                        <w:b/>
                        <w:bCs/>
                        <w:i/>
                        <w:iCs/>
                        <w:color w:val="auto"/>
                        <w:kern w:val="24"/>
                        <w:sz w:val="18"/>
                        <w:highlight w:val="yellow"/>
                      </w:rPr>
                    </m:ctrlPr>
                  </m:sSub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rPr>
                      <m:t>2</m:t>
                    </m:r>
                  </m:sub>
                </m:sSub>
              </m:oMath>
            </m:oMathPara>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00DF7C8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694</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18B9C00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697</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2908BD1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697</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4F4AD39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697</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04A41AD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690</w:t>
            </w:r>
          </w:p>
        </w:tc>
      </w:tr>
      <w:tr w:rsidR="00257B12" w:rsidRPr="00E605D4" w14:paraId="232C7045" w14:textId="77777777" w:rsidTr="00391C21">
        <w:trPr>
          <w:cantSplit/>
        </w:trPr>
        <w:tc>
          <w:tcPr>
            <w:tcW w:w="1026" w:type="dxa"/>
            <w:vMerge/>
            <w:tcBorders>
              <w:top w:val="single" w:sz="8" w:space="0" w:color="000000"/>
              <w:left w:val="nil"/>
              <w:bottom w:val="single" w:sz="4" w:space="0" w:color="000000"/>
              <w:right w:val="nil"/>
            </w:tcBorders>
            <w:shd w:val="clear" w:color="auto" w:fill="auto"/>
            <w:vAlign w:val="center"/>
            <w:hideMark/>
          </w:tcPr>
          <w:p w14:paraId="5B3522B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20811495"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Sup>
                  <m:sSubSupPr>
                    <m:ctrlPr>
                      <w:rPr>
                        <w:rFonts w:ascii="Cambria Math" w:eastAsia="Times New Roman" w:hAnsi="Cambria Math"/>
                        <w:b/>
                        <w:bCs/>
                        <w:i/>
                        <w:iCs/>
                        <w:color w:val="auto"/>
                        <w:kern w:val="24"/>
                        <w:sz w:val="18"/>
                        <w:highlight w:val="yellow"/>
                      </w:rPr>
                    </m:ctrlPr>
                  </m:sSubSup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lang w:val="el-GR"/>
                      </w:rPr>
                      <m:t>θ</m:t>
                    </m:r>
                  </m:sub>
                  <m:sup>
                    <m:r>
                      <m:rPr>
                        <m:sty m:val="bi"/>
                      </m:rPr>
                      <w:rPr>
                        <w:rFonts w:ascii="Cambria Math" w:eastAsia="Times New Roman" w:hAnsi="Cambria Math"/>
                        <w:color w:val="auto"/>
                        <w:kern w:val="24"/>
                        <w:sz w:val="18"/>
                        <w:highlight w:val="yellow"/>
                      </w:rPr>
                      <m:t>s</m:t>
                    </m:r>
                  </m:sup>
                </m:sSubSup>
              </m:oMath>
            </m:oMathPara>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12FF4CA8"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0.981</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72C892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0.982</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3297230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0.978</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B28307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0.976</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7FD82C6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0.954</w:t>
            </w:r>
          </w:p>
        </w:tc>
      </w:tr>
      <w:tr w:rsidR="00257B12" w:rsidRPr="00E605D4" w14:paraId="66582BFE" w14:textId="77777777" w:rsidTr="00391C21">
        <w:trPr>
          <w:cantSplit/>
        </w:trPr>
        <w:tc>
          <w:tcPr>
            <w:tcW w:w="1026" w:type="dxa"/>
            <w:vMerge/>
            <w:tcBorders>
              <w:top w:val="single" w:sz="8" w:space="0" w:color="000000"/>
              <w:left w:val="nil"/>
              <w:bottom w:val="single" w:sz="4" w:space="0" w:color="000000"/>
              <w:right w:val="nil"/>
            </w:tcBorders>
            <w:shd w:val="clear" w:color="auto" w:fill="auto"/>
            <w:vAlign w:val="center"/>
            <w:hideMark/>
          </w:tcPr>
          <w:p w14:paraId="7ADBBC7D"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5ADAF4CE" w14:textId="77777777" w:rsidR="00257B12" w:rsidRPr="00690745" w:rsidRDefault="009F29D0" w:rsidP="000676A0">
            <w:pPr>
              <w:autoSpaceDE w:val="0"/>
              <w:autoSpaceDN w:val="0"/>
              <w:adjustRightInd w:val="0"/>
              <w:snapToGrid w:val="0"/>
              <w:spacing w:line="240" w:lineRule="auto"/>
              <w:jc w:val="center"/>
              <w:rPr>
                <w:rFonts w:eastAsia="Times New Roman" w:cs="Arial"/>
                <w:color w:val="auto"/>
                <w:sz w:val="18"/>
                <w:highlight w:val="yellow"/>
              </w:rPr>
            </w:pPr>
            <m:oMathPara>
              <m:oMathParaPr>
                <m:jc m:val="centerGroup"/>
              </m:oMathParaPr>
              <m:oMath>
                <m:sSubSup>
                  <m:sSubSupPr>
                    <m:ctrlPr>
                      <w:rPr>
                        <w:rFonts w:ascii="Cambria Math" w:eastAsia="Times New Roman" w:hAnsi="Cambria Math"/>
                        <w:b/>
                        <w:bCs/>
                        <w:i/>
                        <w:iCs/>
                        <w:color w:val="auto"/>
                        <w:kern w:val="24"/>
                        <w:sz w:val="18"/>
                        <w:highlight w:val="yellow"/>
                      </w:rPr>
                    </m:ctrlPr>
                  </m:sSubSupPr>
                  <m:e>
                    <m:r>
                      <m:rPr>
                        <m:sty m:val="bi"/>
                      </m:rPr>
                      <w:rPr>
                        <w:rFonts w:ascii="Cambria Math" w:eastAsia="Times New Roman" w:hAnsi="Cambria Math"/>
                        <w:color w:val="auto"/>
                        <w:kern w:val="24"/>
                        <w:sz w:val="18"/>
                        <w:highlight w:val="yellow"/>
                      </w:rPr>
                      <m:t>c</m:t>
                    </m:r>
                  </m:e>
                  <m:sub>
                    <m:r>
                      <m:rPr>
                        <m:sty m:val="bi"/>
                      </m:rPr>
                      <w:rPr>
                        <w:rFonts w:ascii="Cambria Math" w:eastAsia="Times New Roman" w:hAnsi="Cambria Math"/>
                        <w:color w:val="auto"/>
                        <w:kern w:val="24"/>
                        <w:sz w:val="18"/>
                        <w:highlight w:val="yellow"/>
                        <w:lang w:val="el-GR"/>
                      </w:rPr>
                      <m:t>θ</m:t>
                    </m:r>
                  </m:sub>
                  <m:sup>
                    <m:r>
                      <m:rPr>
                        <m:sty m:val="bi"/>
                      </m:rPr>
                      <w:rPr>
                        <w:rFonts w:ascii="Cambria Math" w:eastAsia="Times New Roman" w:hAnsi="Cambria Math"/>
                        <w:color w:val="auto"/>
                        <w:kern w:val="24"/>
                        <w:sz w:val="18"/>
                        <w:highlight w:val="yellow"/>
                      </w:rPr>
                      <m:t>c</m:t>
                    </m:r>
                  </m:sup>
                </m:sSubSup>
              </m:oMath>
            </m:oMathPara>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1CEE642C"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1.037</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00859D9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0.995</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20FB66C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0.961</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7A28741"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0.944</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612BBF56"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0.87</w:t>
            </w:r>
          </w:p>
        </w:tc>
      </w:tr>
      <w:tr w:rsidR="00690745" w:rsidRPr="00E605D4" w14:paraId="7A88637C" w14:textId="77777777" w:rsidTr="00391C21">
        <w:trPr>
          <w:cantSplit/>
        </w:trPr>
        <w:tc>
          <w:tcPr>
            <w:tcW w:w="1026" w:type="dxa"/>
            <w:vMerge/>
            <w:tcBorders>
              <w:top w:val="single" w:sz="8" w:space="0" w:color="000000"/>
              <w:left w:val="nil"/>
              <w:bottom w:val="single" w:sz="4" w:space="0" w:color="auto"/>
              <w:right w:val="nil"/>
            </w:tcBorders>
            <w:shd w:val="clear" w:color="auto" w:fill="auto"/>
            <w:vAlign w:val="center"/>
            <w:hideMark/>
          </w:tcPr>
          <w:p w14:paraId="5F9CA2BD"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171C02FB"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02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8AB1440"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1.3%</w:t>
            </w:r>
          </w:p>
        </w:tc>
        <w:tc>
          <w:tcPr>
            <w:tcW w:w="102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634B683"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11%</w:t>
            </w:r>
          </w:p>
        </w:tc>
        <w:tc>
          <w:tcPr>
            <w:tcW w:w="102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F4AA291"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3.3%</w:t>
            </w:r>
          </w:p>
        </w:tc>
        <w:tc>
          <w:tcPr>
            <w:tcW w:w="1026"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D4B92DC"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32%</w:t>
            </w:r>
          </w:p>
        </w:tc>
        <w:tc>
          <w:tcPr>
            <w:tcW w:w="1062"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74DB0E6"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40%</w:t>
            </w:r>
          </w:p>
        </w:tc>
      </w:tr>
      <w:tr w:rsidR="00690745" w:rsidRPr="00E605D4" w14:paraId="4A56A4F5" w14:textId="77777777" w:rsidTr="00391C21">
        <w:trPr>
          <w:cantSplit/>
        </w:trPr>
        <w:tc>
          <w:tcPr>
            <w:tcW w:w="1026" w:type="dxa"/>
            <w:vMerge w:val="restart"/>
            <w:tcBorders>
              <w:top w:val="single" w:sz="4" w:space="0" w:color="auto"/>
              <w:left w:val="nil"/>
              <w:bottom w:val="single" w:sz="8" w:space="0" w:color="000000"/>
              <w:right w:val="nil"/>
            </w:tcBorders>
            <w:shd w:val="clear" w:color="auto" w:fill="auto"/>
            <w:tcMar>
              <w:top w:w="72" w:type="dxa"/>
              <w:left w:w="144" w:type="dxa"/>
              <w:bottom w:w="72" w:type="dxa"/>
              <w:right w:w="144" w:type="dxa"/>
            </w:tcMar>
            <w:textDirection w:val="btLr"/>
            <w:vAlign w:val="center"/>
            <w:hideMark/>
          </w:tcPr>
          <w:p w14:paraId="5D5D76AB"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Hosford-Coulomb</w:t>
            </w:r>
          </w:p>
        </w:tc>
        <w:tc>
          <w:tcPr>
            <w:tcW w:w="1044"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659E6A3E"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a</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95EAA7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0.46</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0FBF2859"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0.638</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337B94E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1.22</w:t>
            </w:r>
          </w:p>
        </w:tc>
        <w:tc>
          <w:tcPr>
            <w:tcW w:w="1026"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270B5E9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1.33</w:t>
            </w:r>
          </w:p>
        </w:tc>
        <w:tc>
          <w:tcPr>
            <w:tcW w:w="1062"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7A37D0EA"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1.33</w:t>
            </w:r>
          </w:p>
        </w:tc>
      </w:tr>
      <w:tr w:rsidR="00257B12" w:rsidRPr="00E605D4" w14:paraId="701EE6AD" w14:textId="77777777" w:rsidTr="000676A0">
        <w:trPr>
          <w:cantSplit/>
        </w:trPr>
        <w:tc>
          <w:tcPr>
            <w:tcW w:w="1026" w:type="dxa"/>
            <w:vMerge/>
            <w:tcBorders>
              <w:top w:val="single" w:sz="8" w:space="0" w:color="000000"/>
              <w:left w:val="nil"/>
              <w:bottom w:val="single" w:sz="8" w:space="0" w:color="000000"/>
              <w:right w:val="nil"/>
            </w:tcBorders>
            <w:shd w:val="clear" w:color="auto" w:fill="auto"/>
            <w:vAlign w:val="center"/>
            <w:hideMark/>
          </w:tcPr>
          <w:p w14:paraId="79031FE5"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07EB8CAE"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b</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7280A5AE"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0.451</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4C61067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0.478</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4140C4D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0.193</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CCC30E3"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0.236</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707C6AED"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0.235</w:t>
            </w:r>
          </w:p>
        </w:tc>
      </w:tr>
      <w:tr w:rsidR="00257B12" w:rsidRPr="00E605D4" w14:paraId="080B9427" w14:textId="77777777" w:rsidTr="000676A0">
        <w:trPr>
          <w:cantSplit/>
        </w:trPr>
        <w:tc>
          <w:tcPr>
            <w:tcW w:w="1026" w:type="dxa"/>
            <w:vMerge/>
            <w:tcBorders>
              <w:top w:val="single" w:sz="8" w:space="0" w:color="000000"/>
              <w:left w:val="nil"/>
              <w:bottom w:val="single" w:sz="8" w:space="0" w:color="000000"/>
              <w:right w:val="nil"/>
            </w:tcBorders>
            <w:shd w:val="clear" w:color="auto" w:fill="auto"/>
            <w:vAlign w:val="center"/>
            <w:hideMark/>
          </w:tcPr>
          <w:p w14:paraId="6C84804B"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323AAA6B"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c</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0FA8976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0.415</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51C402C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0.296</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7AC9D3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0.075</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418DF0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0.058</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2932419B"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0.057</w:t>
            </w:r>
          </w:p>
        </w:tc>
      </w:tr>
      <w:tr w:rsidR="00257B12" w:rsidRPr="00E605D4" w14:paraId="40910CA3" w14:textId="77777777" w:rsidTr="000676A0">
        <w:trPr>
          <w:cantSplit/>
        </w:trPr>
        <w:tc>
          <w:tcPr>
            <w:tcW w:w="1026" w:type="dxa"/>
            <w:vMerge/>
            <w:tcBorders>
              <w:top w:val="single" w:sz="8" w:space="0" w:color="000000"/>
              <w:left w:val="nil"/>
              <w:bottom w:val="single" w:sz="8" w:space="0" w:color="000000"/>
              <w:right w:val="nil"/>
            </w:tcBorders>
            <w:shd w:val="clear" w:color="auto" w:fill="auto"/>
            <w:vAlign w:val="center"/>
            <w:hideMark/>
          </w:tcPr>
          <w:p w14:paraId="3F3F6287"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nil"/>
              <w:right w:val="nil"/>
            </w:tcBorders>
            <w:shd w:val="clear" w:color="auto" w:fill="auto"/>
            <w:tcMar>
              <w:top w:w="72" w:type="dxa"/>
              <w:left w:w="144" w:type="dxa"/>
              <w:bottom w:w="72" w:type="dxa"/>
              <w:right w:w="144" w:type="dxa"/>
            </w:tcMar>
            <w:vAlign w:val="center"/>
            <w:hideMark/>
          </w:tcPr>
          <w:p w14:paraId="7DB39E05"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d</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6EC222D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0.154</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28C0A4FF"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0.059</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01869857"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0.018</w:t>
            </w:r>
          </w:p>
        </w:tc>
        <w:tc>
          <w:tcPr>
            <w:tcW w:w="1026" w:type="dxa"/>
            <w:tcBorders>
              <w:top w:val="nil"/>
              <w:left w:val="nil"/>
              <w:bottom w:val="nil"/>
              <w:right w:val="nil"/>
            </w:tcBorders>
            <w:shd w:val="clear" w:color="auto" w:fill="auto"/>
            <w:tcMar>
              <w:top w:w="15" w:type="dxa"/>
              <w:left w:w="15" w:type="dxa"/>
              <w:bottom w:w="0" w:type="dxa"/>
              <w:right w:w="15" w:type="dxa"/>
            </w:tcMar>
            <w:vAlign w:val="center"/>
            <w:hideMark/>
          </w:tcPr>
          <w:p w14:paraId="238F02F2"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0.008</w:t>
            </w:r>
          </w:p>
        </w:tc>
        <w:tc>
          <w:tcPr>
            <w:tcW w:w="1062" w:type="dxa"/>
            <w:tcBorders>
              <w:top w:val="nil"/>
              <w:left w:val="nil"/>
              <w:bottom w:val="nil"/>
              <w:right w:val="nil"/>
            </w:tcBorders>
            <w:shd w:val="clear" w:color="auto" w:fill="auto"/>
            <w:tcMar>
              <w:top w:w="15" w:type="dxa"/>
              <w:left w:w="15" w:type="dxa"/>
              <w:bottom w:w="0" w:type="dxa"/>
              <w:right w:w="15" w:type="dxa"/>
            </w:tcMar>
            <w:vAlign w:val="center"/>
            <w:hideMark/>
          </w:tcPr>
          <w:p w14:paraId="4070C060" w14:textId="77777777" w:rsidR="00257B12" w:rsidRPr="00E605D4" w:rsidRDefault="00257B12" w:rsidP="000676A0">
            <w:pPr>
              <w:autoSpaceDE w:val="0"/>
              <w:autoSpaceDN w:val="0"/>
              <w:adjustRightInd w:val="0"/>
              <w:snapToGrid w:val="0"/>
              <w:spacing w:line="240" w:lineRule="auto"/>
              <w:jc w:val="center"/>
              <w:rPr>
                <w:rFonts w:eastAsia="Times New Roman" w:cs="Arial"/>
                <w:color w:val="auto"/>
                <w:sz w:val="18"/>
              </w:rPr>
            </w:pPr>
            <w:r w:rsidRPr="00E605D4">
              <w:rPr>
                <w:rFonts w:eastAsia="Times New Roman"/>
                <w:color w:val="auto"/>
                <w:kern w:val="24"/>
                <w:sz w:val="18"/>
              </w:rPr>
              <w:t>0.008</w:t>
            </w:r>
          </w:p>
        </w:tc>
      </w:tr>
      <w:tr w:rsidR="00257B12" w:rsidRPr="00E605D4" w14:paraId="6754E027" w14:textId="77777777" w:rsidTr="000676A0">
        <w:trPr>
          <w:cantSplit/>
        </w:trPr>
        <w:tc>
          <w:tcPr>
            <w:tcW w:w="1026" w:type="dxa"/>
            <w:vMerge/>
            <w:tcBorders>
              <w:top w:val="single" w:sz="8" w:space="0" w:color="000000"/>
              <w:left w:val="nil"/>
              <w:bottom w:val="single" w:sz="8" w:space="0" w:color="auto"/>
              <w:right w:val="nil"/>
            </w:tcBorders>
            <w:shd w:val="clear" w:color="auto" w:fill="auto"/>
            <w:vAlign w:val="center"/>
            <w:hideMark/>
          </w:tcPr>
          <w:p w14:paraId="179E9EA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p>
        </w:tc>
        <w:tc>
          <w:tcPr>
            <w:tcW w:w="1044" w:type="dxa"/>
            <w:tcBorders>
              <w:top w:val="nil"/>
              <w:left w:val="nil"/>
              <w:bottom w:val="single" w:sz="8" w:space="0" w:color="auto"/>
              <w:right w:val="nil"/>
            </w:tcBorders>
            <w:shd w:val="clear" w:color="auto" w:fill="auto"/>
            <w:tcMar>
              <w:top w:w="72" w:type="dxa"/>
              <w:left w:w="144" w:type="dxa"/>
              <w:bottom w:w="72" w:type="dxa"/>
              <w:right w:w="144" w:type="dxa"/>
            </w:tcMar>
            <w:vAlign w:val="center"/>
            <w:hideMark/>
          </w:tcPr>
          <w:p w14:paraId="3B388963" w14:textId="77777777" w:rsidR="00257B12" w:rsidRPr="00690745" w:rsidRDefault="00257B12" w:rsidP="000676A0">
            <w:pPr>
              <w:autoSpaceDE w:val="0"/>
              <w:autoSpaceDN w:val="0"/>
              <w:adjustRightInd w:val="0"/>
              <w:snapToGrid w:val="0"/>
              <w:spacing w:line="240" w:lineRule="auto"/>
              <w:jc w:val="center"/>
              <w:rPr>
                <w:rFonts w:eastAsia="Times New Roman" w:cs="Arial"/>
                <w:color w:val="auto"/>
                <w:sz w:val="18"/>
                <w:highlight w:val="yellow"/>
              </w:rPr>
            </w:pPr>
            <w:r w:rsidRPr="00690745">
              <w:rPr>
                <w:rFonts w:eastAsia="Times New Roman"/>
                <w:b/>
                <w:bCs/>
                <w:color w:val="auto"/>
                <w:kern w:val="24"/>
                <w:sz w:val="18"/>
                <w:highlight w:val="yellow"/>
              </w:rPr>
              <w:t>Error</w:t>
            </w:r>
          </w:p>
        </w:tc>
        <w:tc>
          <w:tcPr>
            <w:tcW w:w="10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2FB8152"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3.7%</w:t>
            </w:r>
          </w:p>
        </w:tc>
        <w:tc>
          <w:tcPr>
            <w:tcW w:w="10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059CDEEA"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1.3%</w:t>
            </w:r>
          </w:p>
        </w:tc>
        <w:tc>
          <w:tcPr>
            <w:tcW w:w="10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E206C5B"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8.4%</w:t>
            </w:r>
          </w:p>
        </w:tc>
        <w:tc>
          <w:tcPr>
            <w:tcW w:w="1026"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CE9DC7A"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17%</w:t>
            </w:r>
          </w:p>
        </w:tc>
        <w:tc>
          <w:tcPr>
            <w:tcW w:w="1062" w:type="dxa"/>
            <w:tcBorders>
              <w:top w:val="nil"/>
              <w:left w:val="nil"/>
              <w:bottom w:val="single" w:sz="8" w:space="0" w:color="auto"/>
              <w:right w:val="nil"/>
            </w:tcBorders>
            <w:shd w:val="clear" w:color="auto" w:fill="auto"/>
            <w:tcMar>
              <w:top w:w="15" w:type="dxa"/>
              <w:left w:w="15" w:type="dxa"/>
              <w:bottom w:w="0" w:type="dxa"/>
              <w:right w:w="15" w:type="dxa"/>
            </w:tcMar>
            <w:vAlign w:val="center"/>
            <w:hideMark/>
          </w:tcPr>
          <w:p w14:paraId="62BC27EF" w14:textId="77777777" w:rsidR="00257B12" w:rsidRPr="00E605D4" w:rsidRDefault="00257B12" w:rsidP="000676A0">
            <w:pPr>
              <w:autoSpaceDE w:val="0"/>
              <w:autoSpaceDN w:val="0"/>
              <w:adjustRightInd w:val="0"/>
              <w:snapToGrid w:val="0"/>
              <w:spacing w:line="240" w:lineRule="auto"/>
              <w:jc w:val="center"/>
              <w:rPr>
                <w:rFonts w:eastAsia="Times New Roman"/>
                <w:color w:val="auto"/>
                <w:kern w:val="24"/>
                <w:sz w:val="18"/>
              </w:rPr>
            </w:pPr>
            <w:r w:rsidRPr="00E605D4">
              <w:rPr>
                <w:rFonts w:eastAsia="Times New Roman"/>
                <w:color w:val="auto"/>
                <w:kern w:val="24"/>
                <w:sz w:val="18"/>
              </w:rPr>
              <w:t>58%</w:t>
            </w:r>
          </w:p>
        </w:tc>
      </w:tr>
    </w:tbl>
    <w:p w14:paraId="3E281A53" w14:textId="77777777" w:rsidR="00257B12" w:rsidRPr="00E605D4" w:rsidRDefault="000676A0" w:rsidP="000676A0">
      <w:pPr>
        <w:pStyle w:val="MDPI23heading3"/>
        <w:spacing w:before="240"/>
        <w:rPr>
          <w:color w:val="auto"/>
        </w:rPr>
      </w:pPr>
      <w:r w:rsidRPr="00E605D4">
        <w:rPr>
          <w:color w:val="auto"/>
        </w:rPr>
        <w:t xml:space="preserve">3.1.1. </w:t>
      </w:r>
      <w:r w:rsidR="00257B12" w:rsidRPr="00E605D4">
        <w:rPr>
          <w:color w:val="auto"/>
        </w:rPr>
        <w:t>L-PBF 316L</w:t>
      </w:r>
    </w:p>
    <w:p w14:paraId="2386BA0C" w14:textId="2E527F11" w:rsidR="00257B12" w:rsidRDefault="00257B12" w:rsidP="000676A0">
      <w:pPr>
        <w:pStyle w:val="MDPI31text"/>
        <w:rPr>
          <w:color w:val="auto"/>
        </w:rPr>
      </w:pPr>
      <w:r w:rsidRPr="00E605D4">
        <w:rPr>
          <w:color w:val="auto"/>
        </w:rPr>
        <w:t>The damage prediction shows that for 316L, both the MMC and strain-based HC models do a relatively good job at accurately capturing the failure behavior of the dense samples and the samples with 600 µm and 1200 µm diameter intentional pores. The mean absolute percentage error across all test conditions was 4.7% for the MMC model and 6.7% for the HC model. However, for the HC model the largest error was for the 2400 µm pore diameter (16% of the cross-sectional area), where the model did not accurately capture the punch, R5, and R12 behavior simultaneously, resulting in a MAPE of 17%. The low error in the 316L calibrated parameters resulted in good fitting of the fracture surfaces relative to the experimental/simulated scatter data, as shown in Figure 4.</w:t>
      </w:r>
    </w:p>
    <w:p w14:paraId="3F833970" w14:textId="5DF5F064" w:rsidR="00383D7F" w:rsidRPr="00E605D4" w:rsidRDefault="00383D7F" w:rsidP="00383D7F">
      <w:pPr>
        <w:pStyle w:val="MDPI31text"/>
        <w:rPr>
          <w:color w:val="auto"/>
        </w:rPr>
      </w:pPr>
      <w:r w:rsidRPr="00E605D4">
        <w:rPr>
          <w:color w:val="auto"/>
        </w:rPr>
        <w:t>With increased pore size in the 316L, there was a noticeable flattening behavior of the surfaces using both the MMC and strain-based HC models; in other words, failure behavior became less stress state dependent as a function of increased pore size. The strain-based models captured the fracture behavior in 316L with the inclusion of pores well because even with the introduction of the 2400 µm diameter pore (16% of the cross-sectional area), the equivalent plastic strain to failure was &gt;20% at failure, which significantly exceeds elastic deformation</w:t>
      </w:r>
      <w:r w:rsidR="00CE6ED7">
        <w:rPr>
          <w:color w:val="auto"/>
        </w:rPr>
        <w:t>;</w:t>
      </w:r>
      <w:r w:rsidR="00CE6ED7" w:rsidRPr="00E605D4">
        <w:rPr>
          <w:color w:val="auto"/>
        </w:rPr>
        <w:t xml:space="preserve"> </w:t>
      </w:r>
      <w:r w:rsidRPr="00E605D4">
        <w:rPr>
          <w:color w:val="auto"/>
        </w:rPr>
        <w:t>thus, these data still lie in the region of high strain resolution. Overall, the MMC model did a better job capturing the fracture behavior as a function of pore size using the five tests in this study for calibration of the model parameters.</w:t>
      </w:r>
    </w:p>
    <w:p w14:paraId="2DE1839F" w14:textId="77777777" w:rsidR="00383D7F" w:rsidRPr="00E605D4" w:rsidRDefault="00383D7F" w:rsidP="000676A0">
      <w:pPr>
        <w:pStyle w:val="MDPI31text"/>
        <w:rPr>
          <w:color w:val="auto"/>
        </w:rPr>
      </w:pPr>
    </w:p>
    <w:p w14:paraId="029C1450" w14:textId="77777777" w:rsidR="00257B12" w:rsidRPr="00E605D4" w:rsidRDefault="00257B12" w:rsidP="000676A0">
      <w:pPr>
        <w:pStyle w:val="MDPI52figure"/>
        <w:rPr>
          <w:color w:val="auto"/>
        </w:rPr>
      </w:pPr>
      <w:r w:rsidRPr="00E605D4">
        <w:rPr>
          <w:noProof/>
          <w:color w:val="auto"/>
        </w:rPr>
        <w:lastRenderedPageBreak/>
        <w:drawing>
          <wp:inline distT="0" distB="0" distL="0" distR="0" wp14:anchorId="0E2324A0" wp14:editId="7540D2C2">
            <wp:extent cx="5943600" cy="2476500"/>
            <wp:effectExtent l="0" t="0" r="0" b="0"/>
            <wp:docPr id="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38C3EC26" w14:textId="77F52F2E" w:rsidR="00257B12" w:rsidRPr="00E605D4" w:rsidRDefault="000676A0" w:rsidP="000676A0">
      <w:pPr>
        <w:pStyle w:val="MDPI51figurecaption"/>
        <w:ind w:left="425" w:right="425"/>
        <w:jc w:val="both"/>
        <w:rPr>
          <w:color w:val="auto"/>
        </w:rPr>
      </w:pPr>
      <w:bookmarkStart w:id="11" w:name="_Ref72844035"/>
      <w:r w:rsidRPr="00A9094A">
        <w:rPr>
          <w:b/>
          <w:bCs/>
          <w:color w:val="auto"/>
          <w:highlight w:val="yellow"/>
        </w:rPr>
        <w:t xml:space="preserve">Figure 4. </w:t>
      </w:r>
      <w:r w:rsidR="00257B12" w:rsidRPr="00E605D4">
        <w:rPr>
          <w:color w:val="auto"/>
        </w:rPr>
        <w:t>Calibrated (</w:t>
      </w:r>
      <w:r w:rsidR="00257B12" w:rsidRPr="00A9094A">
        <w:rPr>
          <w:b/>
          <w:color w:val="auto"/>
        </w:rPr>
        <w:t>a</w:t>
      </w:r>
      <w:r w:rsidR="00257B12" w:rsidRPr="00E605D4">
        <w:rPr>
          <w:color w:val="auto"/>
        </w:rPr>
        <w:t>) modified Mohr</w:t>
      </w:r>
      <w:r w:rsidR="000C3071">
        <w:t>−</w:t>
      </w:r>
      <w:r w:rsidR="00257B12" w:rsidRPr="00E605D4">
        <w:rPr>
          <w:color w:val="auto"/>
        </w:rPr>
        <w:t>Coulomb and (</w:t>
      </w:r>
      <w:r w:rsidR="00257B12" w:rsidRPr="00A9094A">
        <w:rPr>
          <w:b/>
          <w:color w:val="auto"/>
        </w:rPr>
        <w:t>b</w:t>
      </w:r>
      <w:r w:rsidR="00257B12" w:rsidRPr="00E605D4">
        <w:rPr>
          <w:color w:val="auto"/>
        </w:rPr>
        <w:t>) Hosford</w:t>
      </w:r>
      <w:r w:rsidR="000C3071">
        <w:t>−</w:t>
      </w:r>
      <w:r w:rsidR="00257B12" w:rsidRPr="00E605D4">
        <w:rPr>
          <w:color w:val="auto"/>
        </w:rPr>
        <w:t xml:space="preserve">Coulomb fracture loci in stress triaxiality vs. Lode angle parameter vs. equivalent plastic strain space for 316L using the dense, 1200 µm, and 2400 µm pore data. Note that the horizontal positions of each symbol correspond to the average stress triaxiality and Lode angle parameter during loading, while the vertical position corresponds to the experimental strain to failure </w:t>
      </w:r>
      <w:r w:rsidR="00CE6ED7">
        <w:rPr>
          <w:color w:val="auto"/>
        </w:rPr>
        <w:t>of the</w:t>
      </w:r>
      <w:r w:rsidR="00CE6ED7" w:rsidRPr="00E605D4">
        <w:rPr>
          <w:color w:val="auto"/>
        </w:rPr>
        <w:t xml:space="preserve"> </w:t>
      </w:r>
      <w:r w:rsidR="00257B12" w:rsidRPr="00E605D4">
        <w:rPr>
          <w:color w:val="auto"/>
        </w:rPr>
        <w:t xml:space="preserve">average stress state under the assumption of proportional loading; therefore, the symbols are not expected to lie on the fracture surfaces, which </w:t>
      </w:r>
      <w:proofErr w:type="gramStart"/>
      <w:r w:rsidR="00257B12" w:rsidRPr="00E605D4">
        <w:rPr>
          <w:color w:val="auto"/>
        </w:rPr>
        <w:t>took into account</w:t>
      </w:r>
      <w:proofErr w:type="gramEnd"/>
      <w:r w:rsidR="00257B12" w:rsidRPr="00E605D4">
        <w:rPr>
          <w:color w:val="auto"/>
        </w:rPr>
        <w:t xml:space="preserve"> loading history in the accumulation of damage.</w:t>
      </w:r>
      <w:bookmarkEnd w:id="11"/>
    </w:p>
    <w:p w14:paraId="79613279" w14:textId="77777777" w:rsidR="00257B12" w:rsidRPr="00E605D4" w:rsidRDefault="000676A0" w:rsidP="000676A0">
      <w:pPr>
        <w:pStyle w:val="MDPI23heading3"/>
        <w:spacing w:before="240"/>
        <w:rPr>
          <w:color w:val="auto"/>
        </w:rPr>
      </w:pPr>
      <w:r w:rsidRPr="00E605D4">
        <w:rPr>
          <w:color w:val="auto"/>
        </w:rPr>
        <w:t xml:space="preserve">3.1.2. </w:t>
      </w:r>
      <w:r w:rsidR="00257B12" w:rsidRPr="00E605D4">
        <w:rPr>
          <w:color w:val="auto"/>
        </w:rPr>
        <w:t>L-PBF Ti-6Al-4V</w:t>
      </w:r>
    </w:p>
    <w:p w14:paraId="20DA33E3" w14:textId="5E6B2EE6" w:rsidR="00257B12" w:rsidRPr="00E605D4" w:rsidRDefault="00257B12" w:rsidP="000676A0">
      <w:pPr>
        <w:pStyle w:val="MDPI31text"/>
        <w:rPr>
          <w:color w:val="auto"/>
        </w:rPr>
      </w:pPr>
      <w:r w:rsidRPr="00E605D4">
        <w:rPr>
          <w:color w:val="auto"/>
        </w:rPr>
        <w:t>The calibrated model parameters for Ti-6Al-4V had relatively low average error in the damage prediction for the dense, 300 µm, and 600 µm diameter pore experimental/simulation test data using both the calibrated MMC (5.2% MAPE) and the strain-based HC (4.</w:t>
      </w:r>
      <w:r w:rsidRPr="00690745">
        <w:rPr>
          <w:color w:val="auto"/>
        </w:rPr>
        <w:t>5% MAPE) models. However, the ability of the models to accurately describe the evolution of damage to material failure drastically declined for the samples with the 1200 µm diameter (4% of the cross-sectional area) and 2400 µm diameter (16% of the cross-sectional area) pores</w:t>
      </w:r>
      <w:r w:rsidRPr="00E605D4">
        <w:rPr>
          <w:color w:val="auto"/>
        </w:rPr>
        <w:t xml:space="preserve">. These large errors are primarily driven by errors in fitting the notched tension tests, where the inclusion of the large diameter pores results in failure at little to no plastic strain </w:t>
      </w:r>
      <w:r w:rsidRPr="00E605D4">
        <w:rPr>
          <w:color w:val="auto"/>
        </w:rPr>
        <w:fldChar w:fldCharType="begin" w:fldLock="1"/>
      </w:r>
      <w:r w:rsidRPr="00E605D4">
        <w:rPr>
          <w:color w:val="auto"/>
        </w:rPr>
        <w:instrText>ADDIN CSL_CITATION {"citationItems":[{"id":"ITEM-1","itemData":{"author":[{"dropping-particle":"","family":"Furton","given":"Erik","non-dropping-particle":"","parse-names":false,"suffix":""},{"dropping-particle":"","family":"Wilson-Heid","given":"Alexander E.","non-dropping-particle":"","parse-names":false,"suffix":""},{"dropping-particle":"","family":"Beese","given":"Allison M.","non-dropping-particle":"","parse-names":false,"suffix":""}],"container-title":"Submitted for publication","id":"ITEM-1","issued":{"date-parts":[["2021"]]},"title":"Effect of stress triaxiality and cylindrical porosity on tensile properties of laser powder bed fusion Ti‑6Al‑4V","type":"article-journal"},"uris":["http://www.mendeley.com/documents/?uuid=47aeb861-67ee-45b3-881a-3d5819763095","http://www.mendeley.com/documents/?uuid=4d647e73-f6bd-4e4c-b563-c5d9668a69dc"]}],"mendeley":{"formattedCitation":"[20]","plainTextFormattedCitation":"[20]","previouslyFormattedCitation":"[19]"},"properties":{"noteIndex":0},"schema":"https://github.com/citation-style-language/schema/raw/master/csl-citation.json"}</w:instrText>
      </w:r>
      <w:r w:rsidRPr="00E605D4">
        <w:rPr>
          <w:color w:val="auto"/>
        </w:rPr>
        <w:fldChar w:fldCharType="separate"/>
      </w:r>
      <w:r w:rsidRPr="00E605D4">
        <w:rPr>
          <w:noProof/>
          <w:color w:val="auto"/>
        </w:rPr>
        <w:t>[20]</w:t>
      </w:r>
      <w:r w:rsidRPr="00E605D4">
        <w:rPr>
          <w:color w:val="auto"/>
        </w:rPr>
        <w:fldChar w:fldCharType="end"/>
      </w:r>
      <w:r w:rsidRPr="00E605D4">
        <w:rPr>
          <w:color w:val="auto"/>
        </w:rPr>
        <w:t xml:space="preserve">. </w:t>
      </w:r>
    </w:p>
    <w:p w14:paraId="6E053C8A" w14:textId="77777777" w:rsidR="00257B12" w:rsidRPr="00E605D4" w:rsidRDefault="00257B12" w:rsidP="000676A0">
      <w:pPr>
        <w:pStyle w:val="MDPI52figure"/>
        <w:rPr>
          <w:color w:val="auto"/>
        </w:rPr>
      </w:pPr>
      <w:r w:rsidRPr="00E605D4">
        <w:rPr>
          <w:noProof/>
          <w:color w:val="auto"/>
        </w:rPr>
        <w:drawing>
          <wp:inline distT="0" distB="0" distL="0" distR="0" wp14:anchorId="52E24500" wp14:editId="4D7DF9D3">
            <wp:extent cx="5943600" cy="2476500"/>
            <wp:effectExtent l="0" t="0" r="0" b="0"/>
            <wp:docPr id="1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476500"/>
                    </a:xfrm>
                    <a:prstGeom prst="rect">
                      <a:avLst/>
                    </a:prstGeom>
                    <a:noFill/>
                    <a:ln>
                      <a:noFill/>
                    </a:ln>
                  </pic:spPr>
                </pic:pic>
              </a:graphicData>
            </a:graphic>
          </wp:inline>
        </w:drawing>
      </w:r>
    </w:p>
    <w:p w14:paraId="59F0795C" w14:textId="616A7751" w:rsidR="00257B12" w:rsidRPr="00E605D4" w:rsidRDefault="000676A0" w:rsidP="000676A0">
      <w:pPr>
        <w:pStyle w:val="MDPI51figurecaption"/>
        <w:ind w:left="425" w:right="425"/>
        <w:jc w:val="both"/>
        <w:rPr>
          <w:color w:val="auto"/>
        </w:rPr>
      </w:pPr>
      <w:r w:rsidRPr="00A9094A">
        <w:rPr>
          <w:b/>
          <w:bCs/>
          <w:color w:val="auto"/>
          <w:highlight w:val="yellow"/>
        </w:rPr>
        <w:t>Figure 5.</w:t>
      </w:r>
      <w:r w:rsidRPr="00E605D4">
        <w:rPr>
          <w:b/>
          <w:bCs/>
          <w:color w:val="auto"/>
        </w:rPr>
        <w:t xml:space="preserve"> </w:t>
      </w:r>
      <w:r w:rsidR="00257B12" w:rsidRPr="00E605D4">
        <w:rPr>
          <w:color w:val="auto"/>
        </w:rPr>
        <w:t>Calibrated (</w:t>
      </w:r>
      <w:r w:rsidR="00257B12" w:rsidRPr="00A9094A">
        <w:rPr>
          <w:b/>
          <w:color w:val="auto"/>
        </w:rPr>
        <w:t>a</w:t>
      </w:r>
      <w:r w:rsidR="00257B12" w:rsidRPr="00E605D4">
        <w:rPr>
          <w:color w:val="auto"/>
        </w:rPr>
        <w:t>) modified Mohr</w:t>
      </w:r>
      <w:r w:rsidR="000C3071">
        <w:t>−</w:t>
      </w:r>
      <w:r w:rsidR="00257B12" w:rsidRPr="00E605D4">
        <w:rPr>
          <w:color w:val="auto"/>
        </w:rPr>
        <w:t>Coulomb and (</w:t>
      </w:r>
      <w:r w:rsidR="00257B12" w:rsidRPr="00A9094A">
        <w:rPr>
          <w:b/>
          <w:color w:val="auto"/>
        </w:rPr>
        <w:t>b</w:t>
      </w:r>
      <w:r w:rsidR="00257B12" w:rsidRPr="00E605D4">
        <w:rPr>
          <w:color w:val="auto"/>
        </w:rPr>
        <w:t>) Hosford</w:t>
      </w:r>
      <w:r w:rsidR="000C3071">
        <w:t>−</w:t>
      </w:r>
      <w:r w:rsidR="00257B12" w:rsidRPr="00E605D4">
        <w:rPr>
          <w:color w:val="auto"/>
        </w:rPr>
        <w:t xml:space="preserve">Coulomb fracture loci in stress triaxiality vs. Lode angle parameter vs. equivalent plastic strain space for Ti-6Al-4V using dense, 1200 µm, and 2400 µm pore data. Note that the horizontal positions of each symbol correspond to the average stress triaxiality and Lode angle parameter during loading, while the vertical position corresponds to the experimental strain to failure </w:t>
      </w:r>
      <w:r w:rsidR="00CE6ED7">
        <w:rPr>
          <w:color w:val="auto"/>
        </w:rPr>
        <w:t>of the</w:t>
      </w:r>
      <w:r w:rsidR="00CE6ED7" w:rsidRPr="00E605D4">
        <w:rPr>
          <w:color w:val="auto"/>
        </w:rPr>
        <w:t xml:space="preserve"> </w:t>
      </w:r>
      <w:r w:rsidR="00257B12" w:rsidRPr="00E605D4">
        <w:rPr>
          <w:color w:val="auto"/>
        </w:rPr>
        <w:t xml:space="preserve">average stress state under the assumption of proportional loading; </w:t>
      </w:r>
      <w:proofErr w:type="gramStart"/>
      <w:r w:rsidR="00257B12" w:rsidRPr="00E605D4">
        <w:rPr>
          <w:color w:val="auto"/>
        </w:rPr>
        <w:t>therefore</w:t>
      </w:r>
      <w:proofErr w:type="gramEnd"/>
      <w:r w:rsidR="00257B12" w:rsidRPr="00E605D4">
        <w:rPr>
          <w:color w:val="auto"/>
        </w:rPr>
        <w:t xml:space="preserve"> the symbols are not expected to lie on the fracture surfaces, which took into account loading history in the accumulation of damage.</w:t>
      </w:r>
    </w:p>
    <w:p w14:paraId="04DDF888" w14:textId="77777777" w:rsidR="00383D7F" w:rsidRPr="00E605D4" w:rsidRDefault="00383D7F" w:rsidP="00383D7F">
      <w:pPr>
        <w:pStyle w:val="MDPI31text"/>
        <w:rPr>
          <w:color w:val="auto"/>
        </w:rPr>
      </w:pPr>
      <w:r w:rsidRPr="00E605D4">
        <w:rPr>
          <w:color w:val="auto"/>
        </w:rPr>
        <w:lastRenderedPageBreak/>
        <w:t xml:space="preserve">Plotting the fracture surfaces for 1200 µm diameter (4% of the cross-sectional area) and 2400 µm diameter (16% of the cross-sectional area) pores, as shown in Figure 5 for both models, resulted in surfaces that were hard to distinguish from each other and did not perfectly capture the data. The breakdown of the models’ ability to capture the data accurately in the equivalent plastic strain space for the test conditions with the largest pores was </w:t>
      </w:r>
      <w:proofErr w:type="gramStart"/>
      <w:r w:rsidRPr="00E605D4">
        <w:rPr>
          <w:color w:val="auto"/>
        </w:rPr>
        <w:t>due to the fact that</w:t>
      </w:r>
      <w:proofErr w:type="gramEnd"/>
      <w:r w:rsidRPr="00E605D4">
        <w:rPr>
          <w:color w:val="auto"/>
        </w:rPr>
        <w:t>, with increased pore size and reduced displacement to failure, the elastic strain contribution became non-negligible or even dominant, compared to the plastic contribution, for failure in the Ti-6Al-4V.</w:t>
      </w:r>
    </w:p>
    <w:p w14:paraId="796CA8BE" w14:textId="30177AE8" w:rsidR="00257B12" w:rsidRPr="00E605D4" w:rsidRDefault="000676A0" w:rsidP="000676A0">
      <w:pPr>
        <w:pStyle w:val="MDPI22heading2"/>
        <w:spacing w:before="240"/>
        <w:rPr>
          <w:color w:val="auto"/>
        </w:rPr>
      </w:pPr>
      <w:r w:rsidRPr="00E605D4">
        <w:rPr>
          <w:color w:val="auto"/>
        </w:rPr>
        <w:t xml:space="preserve">3.2. </w:t>
      </w:r>
      <w:r w:rsidR="00257B12" w:rsidRPr="00E605D4">
        <w:rPr>
          <w:color w:val="auto"/>
        </w:rPr>
        <w:t xml:space="preserve">Effect of </w:t>
      </w:r>
      <w:r w:rsidR="00A9094A" w:rsidRPr="00E605D4">
        <w:rPr>
          <w:color w:val="auto"/>
        </w:rPr>
        <w:t xml:space="preserve">Pores </w:t>
      </w:r>
      <w:r w:rsidR="00257B12" w:rsidRPr="00E605D4">
        <w:rPr>
          <w:color w:val="auto"/>
        </w:rPr>
        <w:t xml:space="preserve">in </w:t>
      </w:r>
      <w:r w:rsidR="00A9094A" w:rsidRPr="00E605D4">
        <w:rPr>
          <w:color w:val="auto"/>
        </w:rPr>
        <w:t>Equivalent Stress</w:t>
      </w:r>
      <w:r w:rsidR="00257B12" w:rsidRPr="00E605D4">
        <w:rPr>
          <w:color w:val="auto"/>
        </w:rPr>
        <w:t xml:space="preserve"> versus </w:t>
      </w:r>
      <w:r w:rsidR="00A9094A" w:rsidRPr="00E605D4">
        <w:rPr>
          <w:color w:val="auto"/>
        </w:rPr>
        <w:t xml:space="preserve">Stress Triaxiality </w:t>
      </w:r>
      <w:r w:rsidR="00257B12" w:rsidRPr="00E605D4">
        <w:rPr>
          <w:color w:val="auto"/>
        </w:rPr>
        <w:t xml:space="preserve">and Lode </w:t>
      </w:r>
      <w:r w:rsidR="00A9094A" w:rsidRPr="00E605D4">
        <w:rPr>
          <w:color w:val="auto"/>
        </w:rPr>
        <w:t>Angle Parameter Space</w:t>
      </w:r>
    </w:p>
    <w:p w14:paraId="5892778F" w14:textId="77777777" w:rsidR="00257B12" w:rsidRPr="00E605D4" w:rsidRDefault="000676A0" w:rsidP="000676A0">
      <w:pPr>
        <w:pStyle w:val="MDPI23heading3"/>
        <w:rPr>
          <w:color w:val="auto"/>
        </w:rPr>
      </w:pPr>
      <w:r w:rsidRPr="00E605D4">
        <w:rPr>
          <w:color w:val="auto"/>
        </w:rPr>
        <w:t xml:space="preserve">3.2.1. </w:t>
      </w:r>
      <w:r w:rsidR="00257B12" w:rsidRPr="00E605D4">
        <w:rPr>
          <w:color w:val="auto"/>
        </w:rPr>
        <w:t>L-PBF 316L</w:t>
      </w:r>
    </w:p>
    <w:p w14:paraId="06019094" w14:textId="6FF0A8DA" w:rsidR="00257B12" w:rsidRPr="00E605D4" w:rsidRDefault="00257B12" w:rsidP="000676A0">
      <w:pPr>
        <w:pStyle w:val="MDPI31text"/>
        <w:rPr>
          <w:color w:val="auto"/>
        </w:rPr>
      </w:pPr>
      <w:r w:rsidRPr="00E605D4">
        <w:rPr>
          <w:color w:val="auto"/>
        </w:rPr>
        <w:t xml:space="preserve">The equivalent strain-based models captured the change in fracture behavior with increasing pore diameters </w:t>
      </w:r>
      <w:proofErr w:type="gramStart"/>
      <w:r w:rsidRPr="00E605D4">
        <w:rPr>
          <w:color w:val="auto"/>
        </w:rPr>
        <w:t>well, and</w:t>
      </w:r>
      <w:proofErr w:type="gramEnd"/>
      <w:r w:rsidRPr="00E605D4">
        <w:rPr>
          <w:color w:val="auto"/>
        </w:rPr>
        <w:t xml:space="preserve"> based on the limited strain hardening in the 316L as shown in Figure 1, the ability to resolve the change in equivalent failure stress, with increasing pore size, should be restricted. Both the MC and HC stress-based models captured the experimental/simulated data well with all calculated MAPE below 10%. </w:t>
      </w:r>
    </w:p>
    <w:p w14:paraId="05143943" w14:textId="77777777" w:rsidR="00257B12" w:rsidRPr="00E605D4" w:rsidRDefault="00257B12" w:rsidP="000676A0">
      <w:pPr>
        <w:pStyle w:val="MDPI52figure"/>
        <w:rPr>
          <w:color w:val="auto"/>
        </w:rPr>
      </w:pPr>
      <w:r w:rsidRPr="00E605D4">
        <w:rPr>
          <w:noProof/>
          <w:color w:val="auto"/>
        </w:rPr>
        <w:drawing>
          <wp:inline distT="0" distB="0" distL="0" distR="0" wp14:anchorId="74E5F1E9" wp14:editId="347E64D1">
            <wp:extent cx="5943600" cy="4914900"/>
            <wp:effectExtent l="0" t="0" r="0" b="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r w:rsidRPr="00E605D4">
        <w:rPr>
          <w:color w:val="auto"/>
        </w:rPr>
        <w:t>.</w:t>
      </w:r>
    </w:p>
    <w:p w14:paraId="73E57B5B" w14:textId="0B2AD7D9" w:rsidR="00257B12" w:rsidRPr="00E605D4" w:rsidRDefault="000676A0" w:rsidP="000676A0">
      <w:pPr>
        <w:pStyle w:val="MDPI51figurecaption"/>
        <w:ind w:left="425" w:right="425"/>
        <w:jc w:val="both"/>
        <w:rPr>
          <w:color w:val="auto"/>
        </w:rPr>
      </w:pPr>
      <w:r w:rsidRPr="00A9094A">
        <w:rPr>
          <w:b/>
          <w:bCs/>
          <w:color w:val="auto"/>
          <w:highlight w:val="yellow"/>
        </w:rPr>
        <w:t xml:space="preserve">Figure 6. </w:t>
      </w:r>
      <w:r w:rsidR="00257B12" w:rsidRPr="00E605D4">
        <w:rPr>
          <w:color w:val="auto"/>
        </w:rPr>
        <w:t>Calibrated (</w:t>
      </w:r>
      <w:r w:rsidR="00257B12" w:rsidRPr="00A9094A">
        <w:rPr>
          <w:b/>
          <w:color w:val="auto"/>
        </w:rPr>
        <w:t>a</w:t>
      </w:r>
      <w:r w:rsidR="00257B12" w:rsidRPr="00E605D4">
        <w:rPr>
          <w:color w:val="auto"/>
        </w:rPr>
        <w:t>) maximum stress, (</w:t>
      </w:r>
      <w:r w:rsidR="00257B12" w:rsidRPr="00A9094A">
        <w:rPr>
          <w:b/>
          <w:color w:val="auto"/>
        </w:rPr>
        <w:t>b</w:t>
      </w:r>
      <w:r w:rsidR="00257B12" w:rsidRPr="00E605D4">
        <w:rPr>
          <w:color w:val="auto"/>
        </w:rPr>
        <w:t>) Mohr</w:t>
      </w:r>
      <w:r w:rsidR="000C3071">
        <w:t>−</w:t>
      </w:r>
      <w:r w:rsidR="00257B12" w:rsidRPr="00E605D4">
        <w:rPr>
          <w:color w:val="auto"/>
        </w:rPr>
        <w:t>Coulomb and (</w:t>
      </w:r>
      <w:r w:rsidR="00257B12" w:rsidRPr="00A9094A">
        <w:rPr>
          <w:b/>
          <w:color w:val="auto"/>
        </w:rPr>
        <w:t>c</w:t>
      </w:r>
      <w:r w:rsidR="00257B12" w:rsidRPr="00E605D4">
        <w:rPr>
          <w:color w:val="auto"/>
        </w:rPr>
        <w:t>) Hosford</w:t>
      </w:r>
      <w:r w:rsidR="000C3071">
        <w:t>−</w:t>
      </w:r>
      <w:r w:rsidR="00257B12" w:rsidRPr="00E605D4">
        <w:rPr>
          <w:color w:val="auto"/>
        </w:rPr>
        <w:t>Coulomb fracture loci in stress triaxiality vs. Lode angle parameter vs. equivalent stress space for 316L using dense, 1200 µm, and 2400 µm pore data.</w:t>
      </w:r>
    </w:p>
    <w:p w14:paraId="66A8BD33" w14:textId="77777777" w:rsidR="00383D7F" w:rsidRPr="00E605D4" w:rsidRDefault="00383D7F" w:rsidP="00383D7F">
      <w:pPr>
        <w:pStyle w:val="MDPI31text"/>
        <w:rPr>
          <w:color w:val="auto"/>
        </w:rPr>
      </w:pPr>
      <w:r w:rsidRPr="00E605D4">
        <w:rPr>
          <w:color w:val="auto"/>
        </w:rPr>
        <w:t xml:space="preserve">The fracture surface shapes remained similar with increasing pore size, but the magnitude of equivalent stress across the entire surface was reduced as pore size increased. </w:t>
      </w:r>
      <w:r w:rsidRPr="00E605D4">
        <w:rPr>
          <w:color w:val="auto"/>
        </w:rPr>
        <w:lastRenderedPageBreak/>
        <w:t xml:space="preserve">The MC model exhibits the most change in shape with increased pore size, where the calibrated models for the samples with 1200 µm (4% of the cross-sectional area) and 2400 µm (16% of the cross-sectional area) diameter pores resulted in a flattening of the surface along the edge where Lode angle parameter equals 1, which is where the three notched tension tests lie, as shown in Figure 6b. The maximum stress model captured the notched tension tests well, but all surfaces predict much higher stress to failure than observed for the pure shear test. However, it should be noted that experimentally measured failure under shear should be taken as a lower bound (see, e.g., Ref. </w:t>
      </w:r>
      <w:r w:rsidRPr="00E605D4">
        <w:rPr>
          <w:color w:val="auto"/>
        </w:rPr>
        <w:fldChar w:fldCharType="begin" w:fldLock="1"/>
      </w:r>
      <w:r w:rsidRPr="00E605D4">
        <w:rPr>
          <w:color w:val="auto"/>
        </w:rPr>
        <w:instrText>ADDIN CSL_CITATION {"citationItems":[{"id":"ITEM-1","itemData":{"DOI":"10.1007/s10704-012-9793-0","ISSN":"03769429","abstract":"Ductile failure in polycrystalline aluminum alloys under pure shear as well as with super-posed tension and compression loading is explored through the modified Arcan shear experiments. Specimens obtained through tests interrupted at various stages of deformation and failure evolution are examined through quantitative microscopy to discern the mechanisms of failure and to evaluate the local strain evolution quantitatively. Fractographic observations are used to identify the onset and evolution of damage processes during deformation and failure of these aluminum alloys. Local strain levels are estimated from measurements of the change in grain size with deformation and used to indicate that the local values of failure strains are likely to be much larger than that estimated from strains averaged over characteristic specimen dimensions such as the gage length or the specimen diameter. Lower bound estimates of the failure strain in low triaxiality conditions are obtained from the experiments. It is shown that strain-to-failure decreases monotonically with stress triaxiality in stark contrast with recent works where a reverse behavior in low stress triaxiality levels was reported. Eventual failure that occurs through void growth and coalescence is shown to be restricted to a very small region within the localized deformation band.","author":[{"dropping-particle":"","family":"Ghahremaninezhad","given":"A.","non-dropping-particle":"","parse-names":false,"suffix":""},{"dropping-particle":"","family":"Ravi-Chandar","given":"K.","non-dropping-particle":"","parse-names":false,"suffix":""}],"container-title":"International Journal of Fracture","id":"ITEM-1","issue":"1","issued":{"date-parts":[["2013"]]},"page":"23-39","title":"Ductile failure behavior of polycrystalline Al 6061-T6 under shear dominant loading","type":"article-journal","volume":"180"},"uris":["http://www.mendeley.com/documents/?uuid=662ee25e-21ec-4112-9b72-bb462c9b3ec8"]}],"mendeley":{"formattedCitation":"[27]","plainTextFormattedCitation":"[27]","previouslyFormattedCitation":"[26]"},"properties":{"noteIndex":0},"schema":"https://github.com/citation-style-language/schema/raw/master/csl-citation.json"}</w:instrText>
      </w:r>
      <w:r w:rsidRPr="00E605D4">
        <w:rPr>
          <w:color w:val="auto"/>
        </w:rPr>
        <w:fldChar w:fldCharType="separate"/>
      </w:r>
      <w:r w:rsidRPr="00E605D4">
        <w:rPr>
          <w:noProof/>
          <w:color w:val="auto"/>
        </w:rPr>
        <w:t>[27]</w:t>
      </w:r>
      <w:r w:rsidRPr="00E605D4">
        <w:rPr>
          <w:color w:val="auto"/>
        </w:rPr>
        <w:fldChar w:fldCharType="end"/>
      </w:r>
      <w:r w:rsidRPr="00E605D4">
        <w:rPr>
          <w:color w:val="auto"/>
        </w:rPr>
        <w:t>). In general, the models capture the data well in equivalent stress spaces for the 316L, however the limited loss in strength with increased pore size makes it challenging to differentiate the calibrated fracture surfaces from one another compared to the equivalent strain space.</w:t>
      </w:r>
    </w:p>
    <w:p w14:paraId="45BA3EDB" w14:textId="77777777" w:rsidR="00257B12" w:rsidRPr="00E605D4" w:rsidRDefault="000676A0" w:rsidP="000676A0">
      <w:pPr>
        <w:pStyle w:val="MDPI23heading3"/>
        <w:spacing w:before="240"/>
        <w:rPr>
          <w:color w:val="auto"/>
        </w:rPr>
      </w:pPr>
      <w:r w:rsidRPr="00E605D4">
        <w:rPr>
          <w:color w:val="auto"/>
        </w:rPr>
        <w:t xml:space="preserve">3.2.2. </w:t>
      </w:r>
      <w:r w:rsidR="00257B12" w:rsidRPr="00E605D4">
        <w:rPr>
          <w:color w:val="auto"/>
        </w:rPr>
        <w:t>L-PBF Ti-6Al-4V</w:t>
      </w:r>
    </w:p>
    <w:p w14:paraId="150A2783" w14:textId="05A75F13" w:rsidR="00257B12" w:rsidRPr="00E605D4" w:rsidRDefault="00257B12" w:rsidP="000676A0">
      <w:pPr>
        <w:pStyle w:val="MDPI31text"/>
        <w:rPr>
          <w:color w:val="auto"/>
        </w:rPr>
      </w:pPr>
      <w:r w:rsidRPr="00E605D4">
        <w:rPr>
          <w:color w:val="auto"/>
        </w:rPr>
        <w:t>As the stress-based fracture models investigated here were developed to describe fracture behavior of brittle materials, it follows that a stress space criterion would better capture the detriment to mechanical behavior, due to the introduction of large pores, in already limited-ductility Ti-6Al-4V, better than a strain space representation based on plastic deformation. For Ti-6Al-4V, there were larger differences in the two models’ abilities to capture failure behavior with increased pore size; the MC model average MAPE was 9%, and the model had the most difficulty capturing the dense behavior (13.4% MAPE), but for the HC model the average MAPE was only 3%. The maximum stress model was able to capture the drop in equivalent stress to failure for samples with increased pore size</w:t>
      </w:r>
      <w:r w:rsidR="00CE6ED7">
        <w:rPr>
          <w:color w:val="auto"/>
        </w:rPr>
        <w:t>;</w:t>
      </w:r>
      <w:r w:rsidR="00CE6ED7" w:rsidRPr="00E605D4">
        <w:rPr>
          <w:color w:val="auto"/>
        </w:rPr>
        <w:t xml:space="preserve"> </w:t>
      </w:r>
      <w:r w:rsidRPr="00E605D4">
        <w:rPr>
          <w:color w:val="auto"/>
        </w:rPr>
        <w:t>however</w:t>
      </w:r>
      <w:r w:rsidR="00CE6ED7">
        <w:rPr>
          <w:color w:val="auto"/>
        </w:rPr>
        <w:t>,</w:t>
      </w:r>
      <w:r w:rsidRPr="00E605D4">
        <w:rPr>
          <w:color w:val="auto"/>
        </w:rPr>
        <w:t xml:space="preserve"> it did a poor job capturing the pure shear and punch tests, as shown in Figure 7a. </w:t>
      </w:r>
    </w:p>
    <w:p w14:paraId="419A78CC" w14:textId="7A50128F" w:rsidR="00257B12" w:rsidRPr="00E605D4" w:rsidRDefault="00257B12" w:rsidP="000676A0">
      <w:pPr>
        <w:pStyle w:val="MDPI31text"/>
        <w:rPr>
          <w:color w:val="auto"/>
        </w:rPr>
      </w:pPr>
      <w:r w:rsidRPr="00E605D4">
        <w:rPr>
          <w:color w:val="auto"/>
        </w:rPr>
        <w:t>Between the MC and HC models, the most evident change in calibrated fracture surface shape in stress space was between the surfaces for samples with 1200 µm diameter (4% of the cross-sectional area) and 2400 µm diameter (16% of the cross-sectional area) pores, as shown in Figure 7c. The calibrated HC surfaces showed a clear change from relatively stress state independent failure (flat surface) to more stress state dependent failure in the equivalent stress space for samples with the 2400 µm diameter (16% of the cross-sectional area) pore. For samples with a pore diameter of 1200 µm (4% of the cross-sectional area), the contributions of the elastic and plastic strain components were similar in magnitude; at failure the equivalent plastic strain was less than 1.5% for all three notched tension geometries.</w:t>
      </w:r>
      <w:r w:rsidR="000676A0" w:rsidRPr="00E605D4">
        <w:rPr>
          <w:color w:val="auto"/>
        </w:rPr>
        <w:t xml:space="preserve"> </w:t>
      </w:r>
      <w:r w:rsidRPr="00E605D4">
        <w:rPr>
          <w:color w:val="auto"/>
        </w:rPr>
        <w:t>All samples with a pore diameter of 2400 µm (16% of the cross-sectional area), failed in an elastic deformation-dominated regime, for which there was significantly greater resolution in stress compared to plastic strain. Therefore, the brittle fracture derived models, based on strength limits, better captured the fracture behavior with the 1200 µm (4% of the cross-sectional area) and the 2400 µm (16% of the cross-sectional area) diameter pores.</w:t>
      </w:r>
    </w:p>
    <w:p w14:paraId="5E190A64" w14:textId="77777777" w:rsidR="00257B12" w:rsidRPr="00E605D4" w:rsidRDefault="00257B12" w:rsidP="000676A0">
      <w:pPr>
        <w:pStyle w:val="MDPI52figure"/>
        <w:rPr>
          <w:color w:val="auto"/>
        </w:rPr>
      </w:pPr>
      <w:r w:rsidRPr="00E605D4">
        <w:rPr>
          <w:noProof/>
          <w:color w:val="auto"/>
        </w:rPr>
        <w:lastRenderedPageBreak/>
        <w:drawing>
          <wp:inline distT="0" distB="0" distL="0" distR="0" wp14:anchorId="6FEE726D" wp14:editId="29A8AAE6">
            <wp:extent cx="5943600" cy="4914900"/>
            <wp:effectExtent l="0" t="0" r="0" b="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p>
    <w:p w14:paraId="01B087D5" w14:textId="22D639BD" w:rsidR="00257B12" w:rsidRPr="00E605D4" w:rsidRDefault="000676A0" w:rsidP="000676A0">
      <w:pPr>
        <w:pStyle w:val="MDPI51figurecaption"/>
        <w:ind w:left="425" w:right="425"/>
        <w:jc w:val="both"/>
        <w:rPr>
          <w:color w:val="auto"/>
        </w:rPr>
      </w:pPr>
      <w:r w:rsidRPr="00A9094A">
        <w:rPr>
          <w:b/>
          <w:bCs/>
          <w:color w:val="auto"/>
          <w:highlight w:val="yellow"/>
        </w:rPr>
        <w:t xml:space="preserve">Figure 7. </w:t>
      </w:r>
      <w:r w:rsidR="00257B12" w:rsidRPr="00E605D4">
        <w:rPr>
          <w:color w:val="auto"/>
        </w:rPr>
        <w:t>Calibrated (</w:t>
      </w:r>
      <w:r w:rsidR="00257B12" w:rsidRPr="00A9094A">
        <w:rPr>
          <w:b/>
          <w:color w:val="auto"/>
        </w:rPr>
        <w:t>a</w:t>
      </w:r>
      <w:r w:rsidR="00257B12" w:rsidRPr="00E605D4">
        <w:rPr>
          <w:color w:val="auto"/>
        </w:rPr>
        <w:t>) maximum stress, (</w:t>
      </w:r>
      <w:r w:rsidR="00257B12" w:rsidRPr="00A9094A">
        <w:rPr>
          <w:b/>
          <w:color w:val="auto"/>
        </w:rPr>
        <w:t>b</w:t>
      </w:r>
      <w:r w:rsidR="00257B12" w:rsidRPr="00E605D4">
        <w:rPr>
          <w:color w:val="auto"/>
        </w:rPr>
        <w:t>) Mohr</w:t>
      </w:r>
      <w:r w:rsidR="000C3071">
        <w:t>−</w:t>
      </w:r>
      <w:r w:rsidR="00257B12" w:rsidRPr="00E605D4">
        <w:rPr>
          <w:color w:val="auto"/>
        </w:rPr>
        <w:t>Coulomb, and (</w:t>
      </w:r>
      <w:r w:rsidR="00257B12" w:rsidRPr="00A9094A">
        <w:rPr>
          <w:b/>
          <w:color w:val="auto"/>
        </w:rPr>
        <w:t>c</w:t>
      </w:r>
      <w:r w:rsidR="00257B12" w:rsidRPr="00E605D4">
        <w:rPr>
          <w:color w:val="auto"/>
        </w:rPr>
        <w:t>) Hosford</w:t>
      </w:r>
      <w:r w:rsidR="000C3071">
        <w:t>−</w:t>
      </w:r>
      <w:r w:rsidR="00257B12" w:rsidRPr="00E605D4">
        <w:rPr>
          <w:color w:val="auto"/>
        </w:rPr>
        <w:t>Coulomb fracture loci in stress triaxiality vs. Lode angle parameter vs. equivalent stress space for Ti-6Al-4V using dense, 1200 µm pore, and 2400 µm pore data.</w:t>
      </w:r>
    </w:p>
    <w:p w14:paraId="6C57A043" w14:textId="77777777" w:rsidR="00257B12" w:rsidRPr="00E605D4" w:rsidRDefault="000676A0" w:rsidP="000676A0">
      <w:pPr>
        <w:pStyle w:val="MDPI21heading1"/>
        <w:rPr>
          <w:color w:val="auto"/>
        </w:rPr>
      </w:pPr>
      <w:r w:rsidRPr="00E605D4">
        <w:rPr>
          <w:color w:val="auto"/>
        </w:rPr>
        <w:t xml:space="preserve">4. </w:t>
      </w:r>
      <w:r w:rsidR="00257B12" w:rsidRPr="00E605D4">
        <w:rPr>
          <w:color w:val="auto"/>
        </w:rPr>
        <w:t>Conclusions</w:t>
      </w:r>
    </w:p>
    <w:p w14:paraId="78AC18C9" w14:textId="6CE4EE8F" w:rsidR="00257B12" w:rsidRPr="00E605D4" w:rsidRDefault="00257B12" w:rsidP="000676A0">
      <w:pPr>
        <w:pStyle w:val="MDPI31text"/>
        <w:rPr>
          <w:color w:val="auto"/>
        </w:rPr>
      </w:pPr>
      <w:r w:rsidRPr="00E605D4">
        <w:rPr>
          <w:color w:val="auto"/>
        </w:rPr>
        <w:t>This study takes advantage of the layer-by-layer manufacturing capabilities of AM to study the impact of controlled internal pores in two different metal alloys on stress-state and flaw-size dependent failure behavior. Fracture models presented in both equivalent stress (versus stress state) and strain (versus stress state) space were calibrated and their efficacy for describing the experimental/simulation results were discussed.</w:t>
      </w:r>
      <w:r w:rsidR="000676A0" w:rsidRPr="00E605D4">
        <w:rPr>
          <w:color w:val="auto"/>
        </w:rPr>
        <w:t xml:space="preserve"> </w:t>
      </w:r>
      <w:r w:rsidRPr="00E605D4">
        <w:rPr>
          <w:color w:val="auto"/>
        </w:rPr>
        <w:t>The primary conclusions of this study are:</w:t>
      </w:r>
    </w:p>
    <w:p w14:paraId="7D3FBDE5" w14:textId="0F71C3FB" w:rsidR="00257B12" w:rsidRPr="00E605D4" w:rsidRDefault="00257B12" w:rsidP="000676A0">
      <w:pPr>
        <w:pStyle w:val="MDPI38bullet"/>
        <w:spacing w:before="60"/>
        <w:rPr>
          <w:b/>
          <w:bCs/>
          <w:color w:val="auto"/>
        </w:rPr>
      </w:pPr>
      <w:bookmarkStart w:id="12" w:name="_Hlk73036694"/>
      <w:r w:rsidRPr="00E605D4">
        <w:rPr>
          <w:color w:val="auto"/>
        </w:rPr>
        <w:t xml:space="preserve">L-PBF 316L and Ti-6Al-4V were shown to have drastically different stress state dependent fracture behavior in the dense condition, and these differences were exacerbated with the introduction </w:t>
      </w:r>
      <w:r w:rsidR="00CE6ED7">
        <w:rPr>
          <w:color w:val="auto"/>
        </w:rPr>
        <w:t>o</w:t>
      </w:r>
      <w:r w:rsidR="00CE6ED7" w:rsidRPr="00E605D4">
        <w:rPr>
          <w:color w:val="auto"/>
        </w:rPr>
        <w:t xml:space="preserve">f </w:t>
      </w:r>
      <w:r w:rsidRPr="00E605D4">
        <w:rPr>
          <w:color w:val="auto"/>
        </w:rPr>
        <w:t>internal pores.</w:t>
      </w:r>
      <w:r w:rsidR="000676A0" w:rsidRPr="00E605D4">
        <w:rPr>
          <w:color w:val="auto"/>
        </w:rPr>
        <w:t xml:space="preserve"> </w:t>
      </w:r>
      <w:bookmarkEnd w:id="12"/>
      <w:r w:rsidRPr="00E605D4">
        <w:rPr>
          <w:color w:val="auto"/>
        </w:rPr>
        <w:t>Ultimately, the fracture behavior of relatively high ductility, and therefore defect tolerant, 316L was better captured by ductile fracture models based on an accumulation of damage with plastic deformation due to the significant plastic deformation to fracture observed in all samples, including those with pores.</w:t>
      </w:r>
      <w:r w:rsidR="000676A0" w:rsidRPr="00E605D4">
        <w:rPr>
          <w:color w:val="auto"/>
        </w:rPr>
        <w:t xml:space="preserve"> </w:t>
      </w:r>
      <w:r w:rsidRPr="00E605D4">
        <w:rPr>
          <w:color w:val="auto"/>
        </w:rPr>
        <w:t>Conversely, the fracture behavior of relatively low ductility, and defect intolerant, Ti-6Al-4V was better captured by the fracture models derived based on critical strength values due to the limited or negligible plastic deformation preceding failure, particularly in samples with pores.</w:t>
      </w:r>
    </w:p>
    <w:p w14:paraId="1164E32B" w14:textId="77777777" w:rsidR="00257B12" w:rsidRPr="00E605D4" w:rsidRDefault="00257B12" w:rsidP="000676A0">
      <w:pPr>
        <w:pStyle w:val="MDPI38bullet"/>
        <w:rPr>
          <w:color w:val="auto"/>
        </w:rPr>
      </w:pPr>
      <w:r w:rsidRPr="00E605D4">
        <w:rPr>
          <w:color w:val="auto"/>
        </w:rPr>
        <w:t xml:space="preserve">For L-PBF 316L, the inclusion of the 1200 µm (4% of the cross-sectional area) and the 2400 µm (16% of the cross-sectional area) diameter pores in samples resulted in </w:t>
      </w:r>
      <w:bookmarkStart w:id="13" w:name="_Hlk73036860"/>
      <w:r w:rsidRPr="00E605D4">
        <w:rPr>
          <w:color w:val="auto"/>
        </w:rPr>
        <w:t xml:space="preserve">calibrated fracture surfaces in equivalent plastic strain space that had reduced stress state </w:t>
      </w:r>
      <w:r w:rsidRPr="00E605D4">
        <w:rPr>
          <w:color w:val="auto"/>
        </w:rPr>
        <w:lastRenderedPageBreak/>
        <w:t xml:space="preserve">dependent failure, or flatter fracture surfaces, with increased pore size as failure in these samples became dominated by pore size rather than stress triaxiality. </w:t>
      </w:r>
      <w:bookmarkEnd w:id="13"/>
    </w:p>
    <w:p w14:paraId="666BAE87" w14:textId="77777777" w:rsidR="00257B12" w:rsidRPr="00E605D4" w:rsidRDefault="00257B12" w:rsidP="000676A0">
      <w:pPr>
        <w:pStyle w:val="MDPI38bullet"/>
        <w:rPr>
          <w:color w:val="auto"/>
        </w:rPr>
      </w:pPr>
      <w:bookmarkStart w:id="14" w:name="_Hlk73036743"/>
      <w:r w:rsidRPr="00E605D4">
        <w:rPr>
          <w:color w:val="auto"/>
        </w:rPr>
        <w:t xml:space="preserve">The effect of pores on the fracture behavior of L-PBF 316L was best captured in equivalent plastic strain space as significant equivalent plastic strain to failure was retained even with the samples that had the largest diameter pores (2400 µm or 16% of the cross-sectional area). </w:t>
      </w:r>
      <w:bookmarkEnd w:id="14"/>
      <w:r w:rsidRPr="00E605D4">
        <w:rPr>
          <w:color w:val="auto"/>
        </w:rPr>
        <w:t xml:space="preserve">Specifically, the modified Mohr-Coulomb model calibrated with pure shear, </w:t>
      </w:r>
      <w:proofErr w:type="spellStart"/>
      <w:r w:rsidRPr="00E605D4">
        <w:rPr>
          <w:color w:val="auto"/>
        </w:rPr>
        <w:t>equibiaxial</w:t>
      </w:r>
      <w:proofErr w:type="spellEnd"/>
      <w:r w:rsidRPr="00E605D4">
        <w:rPr>
          <w:color w:val="auto"/>
        </w:rPr>
        <w:t xml:space="preserve"> tension, and three unique round notched tension geometries (with and without intentional penny-shaped pores of varying diameters) most accurately captured the failure behavior of L-PBF 316L. </w:t>
      </w:r>
    </w:p>
    <w:p w14:paraId="4C135CF0" w14:textId="77777777" w:rsidR="00257B12" w:rsidRPr="00E605D4" w:rsidRDefault="00257B12" w:rsidP="000676A0">
      <w:pPr>
        <w:pStyle w:val="MDPI38bullet"/>
        <w:rPr>
          <w:b/>
          <w:bCs/>
          <w:color w:val="auto"/>
        </w:rPr>
      </w:pPr>
      <w:bookmarkStart w:id="15" w:name="_Hlk73036774"/>
      <w:r w:rsidRPr="00E605D4">
        <w:rPr>
          <w:color w:val="auto"/>
        </w:rPr>
        <w:t xml:space="preserve">For L-PBF Ti-6Al-4V, the use of equivalent stress-based fracture models, initially proposed for brittle materials, to evaluate the effect of internal pores of varying diameter was shown to be most appropriate. </w:t>
      </w:r>
      <w:bookmarkEnd w:id="15"/>
    </w:p>
    <w:p w14:paraId="1DE1529C" w14:textId="77777777" w:rsidR="00257B12" w:rsidRPr="00E605D4" w:rsidRDefault="00257B12" w:rsidP="000676A0">
      <w:pPr>
        <w:pStyle w:val="MDPI38bullet"/>
        <w:spacing w:after="60"/>
        <w:rPr>
          <w:color w:val="auto"/>
        </w:rPr>
      </w:pPr>
      <w:r w:rsidRPr="00E605D4">
        <w:rPr>
          <w:color w:val="auto"/>
        </w:rPr>
        <w:t xml:space="preserve">The equivalent stress-based Hosford-Coulomb failure criterion most accurately captured the failure behavior of L-PBF Ti-6Al-4V samples as a function of pore size. </w:t>
      </w:r>
      <w:bookmarkStart w:id="16" w:name="_Hlk73036803"/>
      <w:r w:rsidRPr="00E605D4">
        <w:rPr>
          <w:color w:val="auto"/>
        </w:rPr>
        <w:t>For samples with the largest diameter pores (2400 µm or 16% of the cross-sectional area), the fracture behavior, as visualized with the HC fracture surfaces in stress space, became more stress state dependent compared to the calibrated model for dense Ti-6Al-4V.</w:t>
      </w:r>
    </w:p>
    <w:bookmarkEnd w:id="16"/>
    <w:p w14:paraId="682AE1F8" w14:textId="40EB92D7" w:rsidR="00257B12" w:rsidRPr="00E605D4" w:rsidRDefault="000676A0" w:rsidP="000676A0">
      <w:pPr>
        <w:pStyle w:val="MDPI62BackMatter"/>
        <w:spacing w:before="240"/>
        <w:rPr>
          <w:b/>
          <w:bCs/>
          <w:color w:val="auto"/>
        </w:rPr>
      </w:pPr>
      <w:r w:rsidRPr="00E605D4">
        <w:rPr>
          <w:b/>
          <w:bCs/>
          <w:color w:val="auto"/>
        </w:rPr>
        <w:t>Author Contribution</w:t>
      </w:r>
      <w:r w:rsidR="00257B12" w:rsidRPr="00E605D4">
        <w:rPr>
          <w:b/>
          <w:bCs/>
          <w:color w:val="auto"/>
        </w:rPr>
        <w:t xml:space="preserve">s: </w:t>
      </w:r>
      <w:r w:rsidR="00257B12" w:rsidRPr="00E605D4">
        <w:rPr>
          <w:color w:val="auto"/>
        </w:rPr>
        <w:t xml:space="preserve">Conceptualization, </w:t>
      </w:r>
      <w:r w:rsidR="00A9094A">
        <w:rPr>
          <w:color w:val="auto"/>
        </w:rPr>
        <w:t>A.M.B.</w:t>
      </w:r>
      <w:r w:rsidR="00257B12" w:rsidRPr="00E605D4">
        <w:rPr>
          <w:color w:val="auto"/>
        </w:rPr>
        <w:t xml:space="preserve">; methodology, </w:t>
      </w:r>
      <w:r w:rsidR="00A9094A">
        <w:rPr>
          <w:color w:val="auto"/>
        </w:rPr>
        <w:t>A.E.W.-H.</w:t>
      </w:r>
      <w:r w:rsidR="00257B12" w:rsidRPr="00E605D4">
        <w:rPr>
          <w:color w:val="auto"/>
        </w:rPr>
        <w:t xml:space="preserve"> and </w:t>
      </w:r>
      <w:r w:rsidR="00A9094A">
        <w:rPr>
          <w:color w:val="auto"/>
        </w:rPr>
        <w:t>A.M.B.</w:t>
      </w:r>
      <w:r w:rsidR="00257B12" w:rsidRPr="00E605D4">
        <w:rPr>
          <w:color w:val="auto"/>
        </w:rPr>
        <w:t xml:space="preserve">; software, </w:t>
      </w:r>
      <w:r w:rsidR="00A9094A">
        <w:rPr>
          <w:color w:val="auto"/>
        </w:rPr>
        <w:t>A.E.W.-H.</w:t>
      </w:r>
      <w:r w:rsidR="00257B12" w:rsidRPr="00E605D4">
        <w:rPr>
          <w:color w:val="auto"/>
        </w:rPr>
        <w:t xml:space="preserve"> and </w:t>
      </w:r>
      <w:r w:rsidR="00A9094A">
        <w:rPr>
          <w:color w:val="auto"/>
        </w:rPr>
        <w:t>A.M.B.</w:t>
      </w:r>
      <w:r w:rsidR="00257B12" w:rsidRPr="00E605D4">
        <w:rPr>
          <w:color w:val="auto"/>
        </w:rPr>
        <w:t xml:space="preserve">; validation </w:t>
      </w:r>
      <w:r w:rsidR="00A9094A">
        <w:rPr>
          <w:color w:val="auto"/>
        </w:rPr>
        <w:t>A.E.W.-H.</w:t>
      </w:r>
      <w:r w:rsidR="00257B12" w:rsidRPr="00E605D4">
        <w:rPr>
          <w:color w:val="auto"/>
        </w:rPr>
        <w:t xml:space="preserve">, E.F., and </w:t>
      </w:r>
      <w:r w:rsidR="00A9094A">
        <w:rPr>
          <w:color w:val="auto"/>
        </w:rPr>
        <w:t>A.M.B.</w:t>
      </w:r>
      <w:r w:rsidR="00257B12" w:rsidRPr="00E605D4">
        <w:rPr>
          <w:color w:val="auto"/>
        </w:rPr>
        <w:t xml:space="preserve">; formal analysis, </w:t>
      </w:r>
      <w:r w:rsidR="00A9094A">
        <w:rPr>
          <w:color w:val="auto"/>
        </w:rPr>
        <w:t>A.E.W.-H.</w:t>
      </w:r>
      <w:r w:rsidR="00257B12" w:rsidRPr="00E605D4">
        <w:rPr>
          <w:color w:val="auto"/>
        </w:rPr>
        <w:t xml:space="preserve"> and </w:t>
      </w:r>
      <w:r w:rsidR="00A9094A">
        <w:rPr>
          <w:color w:val="auto"/>
        </w:rPr>
        <w:t>A.M.B.</w:t>
      </w:r>
      <w:r w:rsidR="00257B12" w:rsidRPr="00E605D4">
        <w:rPr>
          <w:color w:val="auto"/>
        </w:rPr>
        <w:t xml:space="preserve">; investigation, </w:t>
      </w:r>
      <w:r w:rsidR="00A9094A">
        <w:rPr>
          <w:color w:val="auto"/>
        </w:rPr>
        <w:t>A.E.W.-H.</w:t>
      </w:r>
      <w:r w:rsidR="00257B12" w:rsidRPr="00E605D4">
        <w:rPr>
          <w:color w:val="auto"/>
        </w:rPr>
        <w:t xml:space="preserve"> and E.F.; resources, </w:t>
      </w:r>
      <w:r w:rsidR="00A9094A">
        <w:rPr>
          <w:color w:val="auto"/>
        </w:rPr>
        <w:t>A.M.B.</w:t>
      </w:r>
      <w:r w:rsidR="00257B12" w:rsidRPr="00E605D4">
        <w:rPr>
          <w:color w:val="auto"/>
        </w:rPr>
        <w:t xml:space="preserve">; data curation, </w:t>
      </w:r>
      <w:r w:rsidR="00A9094A">
        <w:rPr>
          <w:color w:val="auto"/>
        </w:rPr>
        <w:t>A.E.W.-H.</w:t>
      </w:r>
      <w:r w:rsidR="00257B12" w:rsidRPr="00E605D4">
        <w:rPr>
          <w:color w:val="auto"/>
        </w:rPr>
        <w:t xml:space="preserve"> and E.F.; writing—original draft preparation, </w:t>
      </w:r>
      <w:r w:rsidR="00A9094A">
        <w:rPr>
          <w:color w:val="auto"/>
        </w:rPr>
        <w:t>A.E.W.-H.</w:t>
      </w:r>
      <w:r w:rsidR="00257B12" w:rsidRPr="00E605D4">
        <w:rPr>
          <w:color w:val="auto"/>
        </w:rPr>
        <w:t xml:space="preserve">; writing—review and editing, </w:t>
      </w:r>
      <w:r w:rsidR="00A9094A">
        <w:rPr>
          <w:color w:val="auto"/>
        </w:rPr>
        <w:t>A.M.B.</w:t>
      </w:r>
      <w:r w:rsidR="00257B12" w:rsidRPr="00E605D4">
        <w:rPr>
          <w:color w:val="auto"/>
        </w:rPr>
        <w:t xml:space="preserve">; visualization, </w:t>
      </w:r>
      <w:r w:rsidR="00A9094A">
        <w:rPr>
          <w:color w:val="auto"/>
        </w:rPr>
        <w:t>A.E.W.-H.</w:t>
      </w:r>
      <w:r w:rsidR="00257B12" w:rsidRPr="00E605D4">
        <w:rPr>
          <w:color w:val="auto"/>
        </w:rPr>
        <w:t xml:space="preserve">; supervision, </w:t>
      </w:r>
      <w:r w:rsidR="00A9094A">
        <w:rPr>
          <w:color w:val="auto"/>
        </w:rPr>
        <w:t>A.M.B.</w:t>
      </w:r>
      <w:r w:rsidR="00257B12" w:rsidRPr="00E605D4">
        <w:rPr>
          <w:color w:val="auto"/>
        </w:rPr>
        <w:t xml:space="preserve">; project administration, </w:t>
      </w:r>
      <w:r w:rsidR="00A9094A">
        <w:rPr>
          <w:color w:val="auto"/>
        </w:rPr>
        <w:t>A.M.B.</w:t>
      </w:r>
      <w:r w:rsidR="00257B12" w:rsidRPr="00E605D4">
        <w:rPr>
          <w:color w:val="auto"/>
        </w:rPr>
        <w:t xml:space="preserve">; funding acquisition, </w:t>
      </w:r>
      <w:r w:rsidR="00A9094A">
        <w:rPr>
          <w:color w:val="auto"/>
        </w:rPr>
        <w:t>A.M.B.</w:t>
      </w:r>
      <w:r w:rsidR="00257B12" w:rsidRPr="00E605D4">
        <w:rPr>
          <w:color w:val="auto"/>
        </w:rPr>
        <w:t xml:space="preserve"> All authors have read and agreed to the published version of the manuscript.</w:t>
      </w:r>
    </w:p>
    <w:p w14:paraId="502BC2E1" w14:textId="77777777" w:rsidR="000676A0" w:rsidRPr="00E605D4" w:rsidRDefault="00257B12" w:rsidP="000676A0">
      <w:pPr>
        <w:pStyle w:val="MDPI62BackMatter"/>
        <w:rPr>
          <w:color w:val="auto"/>
        </w:rPr>
      </w:pPr>
      <w:r w:rsidRPr="00690745">
        <w:rPr>
          <w:b/>
          <w:bCs/>
          <w:color w:val="auto"/>
        </w:rPr>
        <w:t xml:space="preserve">Funding: </w:t>
      </w:r>
      <w:r w:rsidRPr="00690745">
        <w:rPr>
          <w:color w:val="auto"/>
        </w:rPr>
        <w:t>The fin</w:t>
      </w:r>
      <w:r w:rsidRPr="00E605D4">
        <w:rPr>
          <w:color w:val="auto"/>
        </w:rPr>
        <w:t>ancial support provided by the National Science Foundation through award number CMMI-1652575 is gratefully acknowledged. Any opinions, findings, and conclusions or recommendations expressed in this material are those of the authors and do not necessarily reflect the views of the National Science Foundation.</w:t>
      </w:r>
    </w:p>
    <w:p w14:paraId="247FDD8B" w14:textId="507E96BD" w:rsidR="00257B12" w:rsidRPr="00E605D4" w:rsidRDefault="00257B12" w:rsidP="00257B12">
      <w:pPr>
        <w:pStyle w:val="MDPI62BackMatter"/>
        <w:rPr>
          <w:b/>
          <w:bCs/>
          <w:color w:val="auto"/>
        </w:rPr>
      </w:pPr>
      <w:r w:rsidRPr="00E605D4">
        <w:rPr>
          <w:b/>
          <w:bCs/>
          <w:color w:val="auto"/>
        </w:rPr>
        <w:t>Data Availability Statement:</w:t>
      </w:r>
      <w:r w:rsidR="000676A0" w:rsidRPr="00E605D4">
        <w:rPr>
          <w:b/>
          <w:bCs/>
          <w:color w:val="auto"/>
        </w:rPr>
        <w:t xml:space="preserve"> </w:t>
      </w:r>
      <w:r w:rsidRPr="00E605D4">
        <w:rPr>
          <w:color w:val="auto"/>
        </w:rPr>
        <w:t>Data available on request. The data presented in this study are available on request from the corresponding author.</w:t>
      </w:r>
    </w:p>
    <w:p w14:paraId="5862DA69" w14:textId="77777777" w:rsidR="00257B12" w:rsidRPr="00E605D4" w:rsidRDefault="00257B12" w:rsidP="000676A0">
      <w:pPr>
        <w:pStyle w:val="MDPI62BackMatter"/>
        <w:rPr>
          <w:color w:val="auto"/>
        </w:rPr>
      </w:pPr>
      <w:r w:rsidRPr="00E605D4">
        <w:rPr>
          <w:b/>
          <w:bCs/>
          <w:color w:val="auto"/>
        </w:rPr>
        <w:t xml:space="preserve">Conflicts of Interest: </w:t>
      </w:r>
      <w:r w:rsidRPr="00E605D4">
        <w:rPr>
          <w:color w:val="auto"/>
        </w:rPr>
        <w:t xml:space="preserve">The authors declare no conflict of interest. </w:t>
      </w:r>
    </w:p>
    <w:p w14:paraId="417E2D38" w14:textId="77777777" w:rsidR="00D54A4C" w:rsidRPr="0052483E" w:rsidRDefault="00D54A4C" w:rsidP="00D54A4C">
      <w:pPr>
        <w:pStyle w:val="MDPI21heading1"/>
        <w:ind w:left="0"/>
      </w:pPr>
      <w:bookmarkStart w:id="17" w:name="noRef"/>
      <w:bookmarkEnd w:id="17"/>
      <w:r w:rsidRPr="0052483E">
        <w:t>References</w:t>
      </w:r>
    </w:p>
    <w:p w14:paraId="20999623"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Tang, M.; Pistorius, P.C.; </w:t>
      </w:r>
      <w:proofErr w:type="spellStart"/>
      <w:r w:rsidRPr="006D3001">
        <w:rPr>
          <w:rFonts w:ascii="Palatino Linotype" w:eastAsia="Times New Roman" w:hAnsi="Palatino Linotype"/>
          <w:sz w:val="18"/>
          <w:szCs w:val="18"/>
        </w:rPr>
        <w:t>Beuth</w:t>
      </w:r>
      <w:proofErr w:type="spellEnd"/>
      <w:r w:rsidRPr="006D3001">
        <w:rPr>
          <w:rFonts w:ascii="Palatino Linotype" w:eastAsia="Times New Roman" w:hAnsi="Palatino Linotype"/>
          <w:sz w:val="18"/>
          <w:szCs w:val="18"/>
        </w:rPr>
        <w:t xml:space="preserve">, J.L. Prediction of lack-of-fusion porosity for powder bed fusion. </w:t>
      </w:r>
      <w:proofErr w:type="spellStart"/>
      <w:r w:rsidRPr="006D3001">
        <w:rPr>
          <w:rFonts w:ascii="Palatino Linotype" w:eastAsia="Times New Roman" w:hAnsi="Palatino Linotype"/>
          <w:i/>
          <w:iCs/>
          <w:sz w:val="18"/>
          <w:szCs w:val="18"/>
        </w:rPr>
        <w:t>Addit</w:t>
      </w:r>
      <w:proofErr w:type="spellEnd"/>
      <w:r w:rsidRPr="006D3001">
        <w:rPr>
          <w:rFonts w:ascii="Palatino Linotype" w:eastAsia="Times New Roman" w:hAnsi="Palatino Linotype"/>
          <w:i/>
          <w:iCs/>
          <w:sz w:val="18"/>
          <w:szCs w:val="18"/>
        </w:rPr>
        <w:t>. Manuf.</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2017</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14</w:t>
      </w:r>
      <w:r>
        <w:rPr>
          <w:rFonts w:ascii="Palatino Linotype" w:eastAsia="Times New Roman" w:hAnsi="Palatino Linotype"/>
          <w:bCs/>
          <w:sz w:val="18"/>
          <w:szCs w:val="18"/>
        </w:rPr>
        <w:t>, 39–48</w:t>
      </w:r>
      <w:r w:rsidRPr="006D3001">
        <w:rPr>
          <w:rFonts w:ascii="Palatino Linotype" w:eastAsia="Times New Roman" w:hAnsi="Palatino Linotype"/>
          <w:sz w:val="18"/>
          <w:szCs w:val="18"/>
        </w:rPr>
        <w:t xml:space="preserve">,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10.1016/j.addma</w:t>
      </w:r>
      <w:proofErr w:type="gramEnd"/>
      <w:r w:rsidRPr="006D3001">
        <w:rPr>
          <w:rFonts w:ascii="Palatino Linotype" w:eastAsia="Times New Roman" w:hAnsi="Palatino Linotype"/>
          <w:sz w:val="18"/>
          <w:szCs w:val="18"/>
        </w:rPr>
        <w:t>.2016.12.001.</w:t>
      </w:r>
    </w:p>
    <w:p w14:paraId="3F21798F"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Coeck</w:t>
      </w:r>
      <w:proofErr w:type="spellEnd"/>
      <w:r w:rsidRPr="006D3001">
        <w:rPr>
          <w:rFonts w:ascii="Palatino Linotype" w:eastAsia="Times New Roman" w:hAnsi="Palatino Linotype"/>
          <w:sz w:val="18"/>
          <w:szCs w:val="18"/>
        </w:rPr>
        <w:t xml:space="preserve">, S.; Bisht, M.; </w:t>
      </w:r>
      <w:proofErr w:type="spellStart"/>
      <w:r w:rsidRPr="006D3001">
        <w:rPr>
          <w:rFonts w:ascii="Palatino Linotype" w:eastAsia="Times New Roman" w:hAnsi="Palatino Linotype"/>
          <w:sz w:val="18"/>
          <w:szCs w:val="18"/>
        </w:rPr>
        <w:t>Plas</w:t>
      </w:r>
      <w:proofErr w:type="spellEnd"/>
      <w:r w:rsidRPr="006D3001">
        <w:rPr>
          <w:rFonts w:ascii="Palatino Linotype" w:eastAsia="Times New Roman" w:hAnsi="Palatino Linotype"/>
          <w:sz w:val="18"/>
          <w:szCs w:val="18"/>
        </w:rPr>
        <w:t xml:space="preserve">, J.; </w:t>
      </w:r>
      <w:proofErr w:type="spellStart"/>
      <w:r w:rsidRPr="006D3001">
        <w:rPr>
          <w:rFonts w:ascii="Palatino Linotype" w:eastAsia="Times New Roman" w:hAnsi="Palatino Linotype"/>
          <w:sz w:val="18"/>
          <w:szCs w:val="18"/>
        </w:rPr>
        <w:t>Verbist</w:t>
      </w:r>
      <w:proofErr w:type="spellEnd"/>
      <w:r w:rsidRPr="006D3001">
        <w:rPr>
          <w:rFonts w:ascii="Palatino Linotype" w:eastAsia="Times New Roman" w:hAnsi="Palatino Linotype"/>
          <w:sz w:val="18"/>
          <w:szCs w:val="18"/>
        </w:rPr>
        <w:t xml:space="preserve">, F. Prediction of lack of fusion porosity in selective laser melting based on melt pool monitoring data. </w:t>
      </w:r>
      <w:proofErr w:type="spellStart"/>
      <w:r w:rsidRPr="006D3001">
        <w:rPr>
          <w:rFonts w:ascii="Palatino Linotype" w:eastAsia="Times New Roman" w:hAnsi="Palatino Linotype"/>
          <w:i/>
          <w:iCs/>
          <w:sz w:val="18"/>
          <w:szCs w:val="18"/>
        </w:rPr>
        <w:t>Addit</w:t>
      </w:r>
      <w:proofErr w:type="spellEnd"/>
      <w:r w:rsidRPr="006D3001">
        <w:rPr>
          <w:rFonts w:ascii="Palatino Linotype" w:eastAsia="Times New Roman" w:hAnsi="Palatino Linotype"/>
          <w:i/>
          <w:iCs/>
          <w:sz w:val="18"/>
          <w:szCs w:val="18"/>
        </w:rPr>
        <w:t>. Manuf.</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2019</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25</w:t>
      </w:r>
      <w:r>
        <w:rPr>
          <w:rFonts w:ascii="Palatino Linotype" w:eastAsia="Times New Roman" w:hAnsi="Palatino Linotype"/>
          <w:bCs/>
          <w:sz w:val="18"/>
          <w:szCs w:val="18"/>
        </w:rPr>
        <w:t>, 347–356</w:t>
      </w:r>
      <w:r w:rsidRPr="006D3001">
        <w:rPr>
          <w:rFonts w:ascii="Palatino Linotype" w:eastAsia="Times New Roman" w:hAnsi="Palatino Linotype"/>
          <w:sz w:val="18"/>
          <w:szCs w:val="18"/>
        </w:rPr>
        <w:t xml:space="preserve">,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10.1016/j.addma</w:t>
      </w:r>
      <w:proofErr w:type="gramEnd"/>
      <w:r w:rsidRPr="006D3001">
        <w:rPr>
          <w:rFonts w:ascii="Palatino Linotype" w:eastAsia="Times New Roman" w:hAnsi="Palatino Linotype"/>
          <w:sz w:val="18"/>
          <w:szCs w:val="18"/>
        </w:rPr>
        <w:t>.2018.11.015.</w:t>
      </w:r>
    </w:p>
    <w:p w14:paraId="02412950"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t xml:space="preserve">Popov, V.; </w:t>
      </w:r>
      <w:proofErr w:type="spellStart"/>
      <w:r w:rsidRPr="000E24A9">
        <w:rPr>
          <w:rFonts w:ascii="Palatino Linotype" w:eastAsia="Times New Roman" w:hAnsi="Palatino Linotype"/>
          <w:sz w:val="18"/>
          <w:szCs w:val="18"/>
        </w:rPr>
        <w:t>Grilli</w:t>
      </w:r>
      <w:proofErr w:type="spellEnd"/>
      <w:r w:rsidRPr="000E24A9">
        <w:rPr>
          <w:rFonts w:ascii="Palatino Linotype" w:eastAsia="Times New Roman" w:hAnsi="Palatino Linotype"/>
          <w:sz w:val="18"/>
          <w:szCs w:val="18"/>
        </w:rPr>
        <w:t xml:space="preserve">, M.; </w:t>
      </w:r>
      <w:proofErr w:type="spellStart"/>
      <w:r w:rsidRPr="000E24A9">
        <w:rPr>
          <w:rFonts w:ascii="Palatino Linotype" w:eastAsia="Times New Roman" w:hAnsi="Palatino Linotype"/>
          <w:sz w:val="18"/>
          <w:szCs w:val="18"/>
        </w:rPr>
        <w:t>Koptyug</w:t>
      </w:r>
      <w:proofErr w:type="spellEnd"/>
      <w:r w:rsidRPr="000E24A9">
        <w:rPr>
          <w:rFonts w:ascii="Palatino Linotype" w:eastAsia="Times New Roman" w:hAnsi="Palatino Linotype"/>
          <w:sz w:val="18"/>
          <w:szCs w:val="18"/>
        </w:rPr>
        <w:t xml:space="preserve">, A.; </w:t>
      </w:r>
      <w:proofErr w:type="spellStart"/>
      <w:r w:rsidRPr="000E24A9">
        <w:rPr>
          <w:rFonts w:ascii="Palatino Linotype" w:eastAsia="Times New Roman" w:hAnsi="Palatino Linotype"/>
          <w:sz w:val="18"/>
          <w:szCs w:val="18"/>
        </w:rPr>
        <w:t>Jaworska</w:t>
      </w:r>
      <w:proofErr w:type="spellEnd"/>
      <w:r w:rsidRPr="000E24A9">
        <w:rPr>
          <w:rFonts w:ascii="Palatino Linotype" w:eastAsia="Times New Roman" w:hAnsi="Palatino Linotype"/>
          <w:sz w:val="18"/>
          <w:szCs w:val="18"/>
        </w:rPr>
        <w:t>, L.; Katz-</w:t>
      </w:r>
      <w:proofErr w:type="spellStart"/>
      <w:r w:rsidRPr="000E24A9">
        <w:rPr>
          <w:rFonts w:ascii="Palatino Linotype" w:eastAsia="Times New Roman" w:hAnsi="Palatino Linotype"/>
          <w:sz w:val="18"/>
          <w:szCs w:val="18"/>
        </w:rPr>
        <w:t>Demyanetz</w:t>
      </w:r>
      <w:proofErr w:type="spellEnd"/>
      <w:r w:rsidRPr="000E24A9">
        <w:rPr>
          <w:rFonts w:ascii="Palatino Linotype" w:eastAsia="Times New Roman" w:hAnsi="Palatino Linotype"/>
          <w:sz w:val="18"/>
          <w:szCs w:val="18"/>
        </w:rPr>
        <w:t xml:space="preserve">, A.; </w:t>
      </w:r>
      <w:proofErr w:type="spellStart"/>
      <w:r w:rsidRPr="000E24A9">
        <w:rPr>
          <w:rFonts w:ascii="Palatino Linotype" w:eastAsia="Times New Roman" w:hAnsi="Palatino Linotype"/>
          <w:sz w:val="18"/>
          <w:szCs w:val="18"/>
        </w:rPr>
        <w:t>Klobčar</w:t>
      </w:r>
      <w:proofErr w:type="spellEnd"/>
      <w:r w:rsidRPr="000E24A9">
        <w:rPr>
          <w:rFonts w:ascii="Palatino Linotype" w:eastAsia="Times New Roman" w:hAnsi="Palatino Linotype"/>
          <w:sz w:val="18"/>
          <w:szCs w:val="18"/>
        </w:rPr>
        <w:t xml:space="preserve">, D.; </w:t>
      </w:r>
      <w:proofErr w:type="spellStart"/>
      <w:r w:rsidRPr="000E24A9">
        <w:rPr>
          <w:rFonts w:ascii="Palatino Linotype" w:eastAsia="Times New Roman" w:hAnsi="Palatino Linotype"/>
          <w:sz w:val="18"/>
          <w:szCs w:val="18"/>
        </w:rPr>
        <w:t>Balos</w:t>
      </w:r>
      <w:proofErr w:type="spellEnd"/>
      <w:r w:rsidRPr="000E24A9">
        <w:rPr>
          <w:rFonts w:ascii="Palatino Linotype" w:eastAsia="Times New Roman" w:hAnsi="Palatino Linotype"/>
          <w:sz w:val="18"/>
          <w:szCs w:val="18"/>
        </w:rPr>
        <w:t xml:space="preserve">, S.; </w:t>
      </w:r>
      <w:proofErr w:type="spellStart"/>
      <w:r w:rsidRPr="000E24A9">
        <w:rPr>
          <w:rFonts w:ascii="Palatino Linotype" w:eastAsia="Times New Roman" w:hAnsi="Palatino Linotype"/>
          <w:sz w:val="18"/>
          <w:szCs w:val="18"/>
        </w:rPr>
        <w:t>Postolnyi</w:t>
      </w:r>
      <w:proofErr w:type="spellEnd"/>
      <w:r w:rsidRPr="000E24A9">
        <w:rPr>
          <w:rFonts w:ascii="Palatino Linotype" w:eastAsia="Times New Roman" w:hAnsi="Palatino Linotype"/>
          <w:sz w:val="18"/>
          <w:szCs w:val="18"/>
        </w:rPr>
        <w:t xml:space="preserve">, B.O.; Goel, S. Powder Bed Fusion Additive Manufacturing Using Critical Raw Materials: A Review. </w:t>
      </w:r>
      <w:r w:rsidRPr="000E24A9">
        <w:rPr>
          <w:rFonts w:ascii="Palatino Linotype" w:eastAsia="Times New Roman" w:hAnsi="Palatino Linotype"/>
          <w:i/>
          <w:iCs/>
          <w:sz w:val="18"/>
          <w:szCs w:val="18"/>
        </w:rPr>
        <w:t>Materials</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2021</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14</w:t>
      </w:r>
      <w:r w:rsidRPr="000E24A9">
        <w:rPr>
          <w:rFonts w:ascii="Palatino Linotype" w:eastAsia="Times New Roman" w:hAnsi="Palatino Linotype"/>
          <w:bCs/>
          <w:sz w:val="18"/>
          <w:szCs w:val="18"/>
        </w:rPr>
        <w:t>, 909</w:t>
      </w:r>
      <w:r w:rsidRPr="000E24A9">
        <w:rPr>
          <w:rFonts w:ascii="Palatino Linotype" w:eastAsia="Times New Roman" w:hAnsi="Palatino Linotype"/>
          <w:sz w:val="18"/>
          <w:szCs w:val="18"/>
        </w:rPr>
        <w:t>, doi:10.3390/ma14040909.</w:t>
      </w:r>
    </w:p>
    <w:p w14:paraId="18DA84AF"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t xml:space="preserve">McClintock, F.A. A Criterion for Ductile Fracture by the Growth of Holes. </w:t>
      </w:r>
      <w:r w:rsidRPr="000E24A9">
        <w:rPr>
          <w:rFonts w:ascii="Palatino Linotype" w:eastAsia="Times New Roman" w:hAnsi="Palatino Linotype"/>
          <w:i/>
          <w:iCs/>
          <w:sz w:val="18"/>
          <w:szCs w:val="18"/>
        </w:rPr>
        <w:t>J. Appl. Mech.</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1968</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35</w:t>
      </w:r>
      <w:r w:rsidRPr="000E24A9">
        <w:rPr>
          <w:rFonts w:ascii="Palatino Linotype" w:eastAsia="Times New Roman" w:hAnsi="Palatino Linotype"/>
          <w:bCs/>
          <w:sz w:val="18"/>
          <w:szCs w:val="18"/>
        </w:rPr>
        <w:t>, 363–371</w:t>
      </w:r>
      <w:r w:rsidRPr="000E24A9">
        <w:rPr>
          <w:rFonts w:ascii="Palatino Linotype" w:eastAsia="Times New Roman" w:hAnsi="Palatino Linotype"/>
          <w:sz w:val="18"/>
          <w:szCs w:val="18"/>
        </w:rPr>
        <w:t>, doi</w:t>
      </w:r>
      <w:r>
        <w:rPr>
          <w:rFonts w:ascii="Palatino Linotype" w:eastAsia="Times New Roman" w:hAnsi="Palatino Linotype"/>
          <w:sz w:val="18"/>
          <w:szCs w:val="18"/>
        </w:rPr>
        <w:t>:</w:t>
      </w:r>
      <w:r w:rsidRPr="006D3001">
        <w:rPr>
          <w:rFonts w:ascii="Palatino Linotype" w:eastAsia="Times New Roman" w:hAnsi="Palatino Linotype"/>
          <w:sz w:val="18"/>
          <w:szCs w:val="18"/>
        </w:rPr>
        <w:t>10.1115/1.3601204.</w:t>
      </w:r>
    </w:p>
    <w:p w14:paraId="1220DDE9"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Rice, J.R.; Tracey, D.M. On the ductile enlargement of voids in triaxial stress fields. </w:t>
      </w:r>
      <w:r w:rsidRPr="006D3001">
        <w:rPr>
          <w:rFonts w:ascii="Palatino Linotype" w:eastAsia="Times New Roman" w:hAnsi="Palatino Linotype"/>
          <w:i/>
          <w:iCs/>
          <w:sz w:val="18"/>
          <w:szCs w:val="18"/>
        </w:rPr>
        <w:t>J. Mech. Phys. Solids</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1969</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17</w:t>
      </w:r>
      <w:r>
        <w:rPr>
          <w:rFonts w:ascii="Palatino Linotype" w:eastAsia="Times New Roman" w:hAnsi="Palatino Linotype"/>
          <w:bCs/>
          <w:sz w:val="18"/>
          <w:szCs w:val="18"/>
        </w:rPr>
        <w:t>, 201–217</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10.1016/0022-5096(69)90033-7.</w:t>
      </w:r>
    </w:p>
    <w:p w14:paraId="11EDDDD5"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Gurson</w:t>
      </w:r>
      <w:proofErr w:type="spellEnd"/>
      <w:r w:rsidRPr="006D3001">
        <w:rPr>
          <w:rFonts w:ascii="Palatino Linotype" w:eastAsia="Times New Roman" w:hAnsi="Palatino Linotype"/>
          <w:sz w:val="18"/>
          <w:szCs w:val="18"/>
        </w:rPr>
        <w:t xml:space="preserve">, A.L. Continuum Theory of Ductile Rupture by Void Nucleation and Growth: Part I—Yield Criteria and Flow Rules for Porous Ductile Media. </w:t>
      </w:r>
      <w:r w:rsidRPr="006D3001">
        <w:rPr>
          <w:rFonts w:ascii="Palatino Linotype" w:eastAsia="Times New Roman" w:hAnsi="Palatino Linotype"/>
          <w:i/>
          <w:iCs/>
          <w:sz w:val="18"/>
          <w:szCs w:val="18"/>
        </w:rPr>
        <w:t>J. Eng. Mater. Technol.</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1977</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99</w:t>
      </w:r>
      <w:r>
        <w:rPr>
          <w:rFonts w:ascii="Palatino Linotype" w:eastAsia="Times New Roman" w:hAnsi="Palatino Linotype"/>
          <w:bCs/>
          <w:sz w:val="18"/>
          <w:szCs w:val="18"/>
        </w:rPr>
        <w:t>, 2–15</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10.1115/1.3443401.</w:t>
      </w:r>
    </w:p>
    <w:p w14:paraId="6D63F1F8"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Pardoen</w:t>
      </w:r>
      <w:proofErr w:type="spellEnd"/>
      <w:r w:rsidRPr="006D3001">
        <w:rPr>
          <w:rFonts w:ascii="Palatino Linotype" w:eastAsia="Times New Roman" w:hAnsi="Palatino Linotype"/>
          <w:sz w:val="18"/>
          <w:szCs w:val="18"/>
        </w:rPr>
        <w:t xml:space="preserve">, T.; </w:t>
      </w:r>
      <w:proofErr w:type="spellStart"/>
      <w:r w:rsidRPr="006D3001">
        <w:rPr>
          <w:rFonts w:ascii="Palatino Linotype" w:eastAsia="Times New Roman" w:hAnsi="Palatino Linotype"/>
          <w:sz w:val="18"/>
          <w:szCs w:val="18"/>
        </w:rPr>
        <w:t>Doghri</w:t>
      </w:r>
      <w:proofErr w:type="spellEnd"/>
      <w:r w:rsidRPr="006D3001">
        <w:rPr>
          <w:rFonts w:ascii="Palatino Linotype" w:eastAsia="Times New Roman" w:hAnsi="Palatino Linotype"/>
          <w:sz w:val="18"/>
          <w:szCs w:val="18"/>
        </w:rPr>
        <w:t xml:space="preserve">, I.; </w:t>
      </w:r>
      <w:proofErr w:type="spellStart"/>
      <w:r w:rsidRPr="006D3001">
        <w:rPr>
          <w:rFonts w:ascii="Palatino Linotype" w:eastAsia="Times New Roman" w:hAnsi="Palatino Linotype"/>
          <w:sz w:val="18"/>
          <w:szCs w:val="18"/>
        </w:rPr>
        <w:t>Delannay</w:t>
      </w:r>
      <w:proofErr w:type="spellEnd"/>
      <w:r w:rsidRPr="006D3001">
        <w:rPr>
          <w:rFonts w:ascii="Palatino Linotype" w:eastAsia="Times New Roman" w:hAnsi="Palatino Linotype"/>
          <w:sz w:val="18"/>
          <w:szCs w:val="18"/>
        </w:rPr>
        <w:t xml:space="preserve">, F. Experimental and numerical comparison of void growth models and void coalescence criteria for the prediction of ductile fracture in copper bars. </w:t>
      </w:r>
      <w:r w:rsidRPr="006D3001">
        <w:rPr>
          <w:rFonts w:ascii="Palatino Linotype" w:eastAsia="Times New Roman" w:hAnsi="Palatino Linotype"/>
          <w:i/>
          <w:iCs/>
          <w:sz w:val="18"/>
          <w:szCs w:val="18"/>
        </w:rPr>
        <w:t>Acta Mater.</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1998</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46</w:t>
      </w:r>
      <w:r>
        <w:rPr>
          <w:rFonts w:ascii="Palatino Linotype" w:eastAsia="Times New Roman" w:hAnsi="Palatino Linotype"/>
          <w:bCs/>
          <w:sz w:val="18"/>
          <w:szCs w:val="18"/>
        </w:rPr>
        <w:t>, 541–552</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10.1016/s1359-6454(97)00247-4.</w:t>
      </w:r>
    </w:p>
    <w:p w14:paraId="2E469CC6"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Tvergaard</w:t>
      </w:r>
      <w:proofErr w:type="spellEnd"/>
      <w:r w:rsidRPr="006D3001">
        <w:rPr>
          <w:rFonts w:ascii="Palatino Linotype" w:eastAsia="Times New Roman" w:hAnsi="Palatino Linotype"/>
          <w:sz w:val="18"/>
          <w:szCs w:val="18"/>
        </w:rPr>
        <w:t xml:space="preserve">, V.; Hutchinson, J.W. Two mechanisms of ductile </w:t>
      </w:r>
      <w:r w:rsidRPr="000E24A9">
        <w:rPr>
          <w:rFonts w:ascii="Palatino Linotype" w:eastAsia="Times New Roman" w:hAnsi="Palatino Linotype"/>
          <w:sz w:val="18"/>
          <w:szCs w:val="18"/>
        </w:rPr>
        <w:t xml:space="preserve">fracture: Void by void growth versus multiple void interaction. </w:t>
      </w:r>
      <w:r w:rsidRPr="000E24A9">
        <w:rPr>
          <w:rFonts w:ascii="Palatino Linotype" w:eastAsia="Times New Roman" w:hAnsi="Palatino Linotype"/>
          <w:i/>
          <w:iCs/>
          <w:sz w:val="18"/>
          <w:szCs w:val="18"/>
        </w:rPr>
        <w:t>Int. J. Solids Struct.</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2002</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39</w:t>
      </w:r>
      <w:r w:rsidRPr="000E24A9">
        <w:rPr>
          <w:rFonts w:ascii="Palatino Linotype" w:eastAsia="Times New Roman" w:hAnsi="Palatino Linotype"/>
          <w:bCs/>
          <w:sz w:val="18"/>
          <w:szCs w:val="18"/>
        </w:rPr>
        <w:t>, 3581–3597</w:t>
      </w:r>
      <w:r w:rsidRPr="000E24A9">
        <w:rPr>
          <w:rFonts w:ascii="Palatino Linotype" w:eastAsia="Times New Roman" w:hAnsi="Palatino Linotype"/>
          <w:sz w:val="18"/>
          <w:szCs w:val="18"/>
        </w:rPr>
        <w:t>, doi:10.1016/s0020-7683(02)00168-3.</w:t>
      </w:r>
    </w:p>
    <w:p w14:paraId="65F91E23"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Benzerga</w:t>
      </w:r>
      <w:proofErr w:type="spellEnd"/>
      <w:r w:rsidRPr="006D3001">
        <w:rPr>
          <w:rFonts w:ascii="Palatino Linotype" w:eastAsia="Times New Roman" w:hAnsi="Palatino Linotype"/>
          <w:sz w:val="18"/>
          <w:szCs w:val="18"/>
        </w:rPr>
        <w:t xml:space="preserve">, A.A.; </w:t>
      </w:r>
      <w:proofErr w:type="spellStart"/>
      <w:r w:rsidRPr="006D3001">
        <w:rPr>
          <w:rFonts w:ascii="Palatino Linotype" w:eastAsia="Times New Roman" w:hAnsi="Palatino Linotype"/>
          <w:sz w:val="18"/>
          <w:szCs w:val="18"/>
        </w:rPr>
        <w:t>Leblond</w:t>
      </w:r>
      <w:proofErr w:type="spellEnd"/>
      <w:r w:rsidRPr="006D3001">
        <w:rPr>
          <w:rFonts w:ascii="Palatino Linotype" w:eastAsia="Times New Roman" w:hAnsi="Palatino Linotype"/>
          <w:sz w:val="18"/>
          <w:szCs w:val="18"/>
        </w:rPr>
        <w:t xml:space="preserve">, J.-B. Ductile Fracture by Void Growth to Coalescence. </w:t>
      </w:r>
      <w:r w:rsidRPr="00E02FF1">
        <w:rPr>
          <w:rFonts w:ascii="Palatino Linotype" w:eastAsia="Times New Roman" w:hAnsi="Palatino Linotype"/>
          <w:i/>
          <w:sz w:val="18"/>
          <w:szCs w:val="18"/>
        </w:rPr>
        <w:t>Adv. Appl. Mech.</w:t>
      </w:r>
      <w:r>
        <w:rPr>
          <w:rFonts w:ascii="Palatino Linotype" w:eastAsia="Times New Roman" w:hAnsi="Palatino Linotype"/>
          <w:sz w:val="18"/>
          <w:szCs w:val="18"/>
        </w:rPr>
        <w:t xml:space="preserve"> </w:t>
      </w:r>
      <w:r>
        <w:rPr>
          <w:rFonts w:ascii="Palatino Linotype" w:eastAsia="Times New Roman" w:hAnsi="Palatino Linotype"/>
          <w:b/>
          <w:bCs/>
          <w:sz w:val="18"/>
          <w:szCs w:val="18"/>
        </w:rPr>
        <w:t>2010</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44</w:t>
      </w:r>
      <w:r>
        <w:rPr>
          <w:rFonts w:ascii="Palatino Linotype" w:eastAsia="Times New Roman" w:hAnsi="Palatino Linotype"/>
          <w:bCs/>
          <w:sz w:val="18"/>
          <w:szCs w:val="18"/>
        </w:rPr>
        <w:t>, 169–305</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10.1016/s0065-2156(10)44003-x.</w:t>
      </w:r>
    </w:p>
    <w:p w14:paraId="21060620"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Snow, Z.; Nassar, A.R.; </w:t>
      </w:r>
      <w:proofErr w:type="spellStart"/>
      <w:r w:rsidRPr="006D3001">
        <w:rPr>
          <w:rFonts w:ascii="Palatino Linotype" w:eastAsia="Times New Roman" w:hAnsi="Palatino Linotype"/>
          <w:sz w:val="18"/>
          <w:szCs w:val="18"/>
        </w:rPr>
        <w:t>Reutzel</w:t>
      </w:r>
      <w:proofErr w:type="spellEnd"/>
      <w:r w:rsidRPr="006D3001">
        <w:rPr>
          <w:rFonts w:ascii="Palatino Linotype" w:eastAsia="Times New Roman" w:hAnsi="Palatino Linotype"/>
          <w:sz w:val="18"/>
          <w:szCs w:val="18"/>
        </w:rPr>
        <w:t xml:space="preserve">, E.W. Invited Review Article: Review of the formation and impact of flaws in powder bed fusion additive manufacturing. </w:t>
      </w:r>
      <w:proofErr w:type="spellStart"/>
      <w:r w:rsidRPr="006D3001">
        <w:rPr>
          <w:rFonts w:ascii="Palatino Linotype" w:eastAsia="Times New Roman" w:hAnsi="Palatino Linotype"/>
          <w:i/>
          <w:iCs/>
          <w:sz w:val="18"/>
          <w:szCs w:val="18"/>
        </w:rPr>
        <w:t>Addit</w:t>
      </w:r>
      <w:proofErr w:type="spellEnd"/>
      <w:r w:rsidRPr="006D3001">
        <w:rPr>
          <w:rFonts w:ascii="Palatino Linotype" w:eastAsia="Times New Roman" w:hAnsi="Palatino Linotype"/>
          <w:i/>
          <w:iCs/>
          <w:sz w:val="18"/>
          <w:szCs w:val="18"/>
        </w:rPr>
        <w:t>. Manuf.</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2020</w:t>
      </w:r>
      <w:r>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36</w:t>
      </w:r>
      <w:r w:rsidRPr="000E24A9">
        <w:rPr>
          <w:rFonts w:ascii="Palatino Linotype" w:eastAsia="Times New Roman" w:hAnsi="Palatino Linotype"/>
          <w:bCs/>
          <w:sz w:val="18"/>
          <w:szCs w:val="18"/>
        </w:rPr>
        <w:t>, 101457</w:t>
      </w:r>
      <w:r w:rsidRPr="000E24A9">
        <w:rPr>
          <w:rFonts w:ascii="Palatino Linotype" w:eastAsia="Times New Roman" w:hAnsi="Palatino Linotype"/>
          <w:sz w:val="18"/>
          <w:szCs w:val="18"/>
        </w:rPr>
        <w:t xml:space="preserve">, </w:t>
      </w:r>
      <w:proofErr w:type="gramStart"/>
      <w:r w:rsidRPr="000E24A9">
        <w:rPr>
          <w:rFonts w:ascii="Palatino Linotype" w:eastAsia="Times New Roman" w:hAnsi="Palatino Linotype"/>
          <w:sz w:val="18"/>
          <w:szCs w:val="18"/>
        </w:rPr>
        <w:t>doi:10.1016/j.addma</w:t>
      </w:r>
      <w:proofErr w:type="gramEnd"/>
      <w:r w:rsidRPr="000E24A9">
        <w:rPr>
          <w:rFonts w:ascii="Palatino Linotype" w:eastAsia="Times New Roman" w:hAnsi="Palatino Linotype"/>
          <w:sz w:val="18"/>
          <w:szCs w:val="18"/>
        </w:rPr>
        <w:t>.2020.101457.</w:t>
      </w:r>
    </w:p>
    <w:p w14:paraId="7F25B231"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0E24A9">
        <w:rPr>
          <w:rFonts w:ascii="Palatino Linotype" w:eastAsia="Times New Roman" w:hAnsi="Palatino Linotype"/>
          <w:sz w:val="18"/>
          <w:szCs w:val="18"/>
        </w:rPr>
        <w:t>Ronneberg</w:t>
      </w:r>
      <w:proofErr w:type="spellEnd"/>
      <w:r w:rsidRPr="000E24A9">
        <w:rPr>
          <w:rFonts w:ascii="Palatino Linotype" w:eastAsia="Times New Roman" w:hAnsi="Palatino Linotype"/>
          <w:sz w:val="18"/>
          <w:szCs w:val="18"/>
        </w:rPr>
        <w:t xml:space="preserve">, T.; Davies, C.M.; Hooper, P.A. Revealing relationships between porosity, </w:t>
      </w:r>
      <w:proofErr w:type="gramStart"/>
      <w:r w:rsidRPr="000E24A9">
        <w:rPr>
          <w:rFonts w:ascii="Palatino Linotype" w:eastAsia="Times New Roman" w:hAnsi="Palatino Linotype"/>
          <w:sz w:val="18"/>
          <w:szCs w:val="18"/>
        </w:rPr>
        <w:t>microstructure</w:t>
      </w:r>
      <w:proofErr w:type="gramEnd"/>
      <w:r w:rsidRPr="000E24A9">
        <w:rPr>
          <w:rFonts w:ascii="Palatino Linotype" w:eastAsia="Times New Roman" w:hAnsi="Palatino Linotype"/>
          <w:sz w:val="18"/>
          <w:szCs w:val="18"/>
        </w:rPr>
        <w:t xml:space="preserve"> and mechanical properties of laser powder bed fusion 316L stainless steel through heat treatment. </w:t>
      </w:r>
      <w:r w:rsidRPr="000E24A9">
        <w:rPr>
          <w:rFonts w:ascii="Palatino Linotype" w:eastAsia="Times New Roman" w:hAnsi="Palatino Linotype"/>
          <w:i/>
          <w:iCs/>
          <w:sz w:val="18"/>
          <w:szCs w:val="18"/>
        </w:rPr>
        <w:t>Mater. Des.</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2020</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189</w:t>
      </w:r>
      <w:r w:rsidRPr="000E24A9">
        <w:rPr>
          <w:rFonts w:ascii="Palatino Linotype" w:eastAsia="Times New Roman" w:hAnsi="Palatino Linotype"/>
          <w:bCs/>
          <w:sz w:val="18"/>
          <w:szCs w:val="18"/>
        </w:rPr>
        <w:t>, 108481</w:t>
      </w:r>
      <w:r w:rsidRPr="000E24A9">
        <w:rPr>
          <w:rFonts w:ascii="Palatino Linotype" w:eastAsia="Times New Roman" w:hAnsi="Palatino Linotype"/>
          <w:sz w:val="18"/>
          <w:szCs w:val="18"/>
        </w:rPr>
        <w:t xml:space="preserve">, </w:t>
      </w:r>
      <w:proofErr w:type="gramStart"/>
      <w:r w:rsidRPr="000E24A9">
        <w:rPr>
          <w:rFonts w:ascii="Palatino Linotype" w:eastAsia="Times New Roman" w:hAnsi="Palatino Linotype"/>
          <w:sz w:val="18"/>
          <w:szCs w:val="18"/>
        </w:rPr>
        <w:t>doi:10.1016/j.matdes</w:t>
      </w:r>
      <w:proofErr w:type="gramEnd"/>
      <w:r w:rsidRPr="000E24A9">
        <w:rPr>
          <w:rFonts w:ascii="Palatino Linotype" w:eastAsia="Times New Roman" w:hAnsi="Palatino Linotype"/>
          <w:sz w:val="18"/>
          <w:szCs w:val="18"/>
        </w:rPr>
        <w:t>.2020.108481.</w:t>
      </w:r>
    </w:p>
    <w:p w14:paraId="64320752"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lastRenderedPageBreak/>
        <w:t xml:space="preserve">Needleman, A.; </w:t>
      </w:r>
      <w:proofErr w:type="spellStart"/>
      <w:r w:rsidRPr="000E24A9">
        <w:rPr>
          <w:rFonts w:ascii="Palatino Linotype" w:eastAsia="Times New Roman" w:hAnsi="Palatino Linotype"/>
          <w:sz w:val="18"/>
          <w:szCs w:val="18"/>
        </w:rPr>
        <w:t>Tvergaard</w:t>
      </w:r>
      <w:proofErr w:type="spellEnd"/>
      <w:r w:rsidRPr="000E24A9">
        <w:rPr>
          <w:rFonts w:ascii="Palatino Linotype" w:eastAsia="Times New Roman" w:hAnsi="Palatino Linotype"/>
          <w:sz w:val="18"/>
          <w:szCs w:val="18"/>
        </w:rPr>
        <w:t xml:space="preserve">, V. An analysis of ductile rupture in notched bars. </w:t>
      </w:r>
      <w:r w:rsidRPr="000E24A9">
        <w:rPr>
          <w:rFonts w:ascii="Palatino Linotype" w:eastAsia="Times New Roman" w:hAnsi="Palatino Linotype"/>
          <w:i/>
          <w:iCs/>
          <w:sz w:val="18"/>
          <w:szCs w:val="18"/>
        </w:rPr>
        <w:t>J. Mech. Phys. Solids</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1984</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32</w:t>
      </w:r>
      <w:r w:rsidRPr="000E24A9">
        <w:rPr>
          <w:rFonts w:ascii="Palatino Linotype" w:eastAsia="Times New Roman" w:hAnsi="Palatino Linotype"/>
          <w:bCs/>
          <w:sz w:val="18"/>
          <w:szCs w:val="18"/>
        </w:rPr>
        <w:t>, 461–490</w:t>
      </w:r>
      <w:r w:rsidRPr="000E24A9">
        <w:rPr>
          <w:rFonts w:ascii="Palatino Linotype" w:eastAsia="Times New Roman" w:hAnsi="Palatino Linotype"/>
          <w:sz w:val="18"/>
          <w:szCs w:val="18"/>
        </w:rPr>
        <w:t>, doi:10.1016/0022-5096(84)90031-0.</w:t>
      </w:r>
    </w:p>
    <w:p w14:paraId="6E4FC900"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Bai, Y.; </w:t>
      </w:r>
      <w:proofErr w:type="spellStart"/>
      <w:r w:rsidRPr="006D3001">
        <w:rPr>
          <w:rFonts w:ascii="Palatino Linotype" w:eastAsia="Times New Roman" w:hAnsi="Palatino Linotype"/>
          <w:sz w:val="18"/>
          <w:szCs w:val="18"/>
        </w:rPr>
        <w:t>Wierzbicki</w:t>
      </w:r>
      <w:proofErr w:type="spellEnd"/>
      <w:r w:rsidRPr="006D3001">
        <w:rPr>
          <w:rFonts w:ascii="Palatino Linotype" w:eastAsia="Times New Roman" w:hAnsi="Palatino Linotype"/>
          <w:sz w:val="18"/>
          <w:szCs w:val="18"/>
        </w:rPr>
        <w:t xml:space="preserve">, T. A new model of metal plasticity and fracture with pressure and Lode dependence. </w:t>
      </w:r>
      <w:r w:rsidRPr="006D3001">
        <w:rPr>
          <w:rFonts w:ascii="Palatino Linotype" w:eastAsia="Times New Roman" w:hAnsi="Palatino Linotype"/>
          <w:i/>
          <w:iCs/>
          <w:sz w:val="18"/>
          <w:szCs w:val="18"/>
        </w:rPr>
        <w:t xml:space="preserve">Int. J. </w:t>
      </w:r>
      <w:proofErr w:type="spellStart"/>
      <w:r w:rsidRPr="006D3001">
        <w:rPr>
          <w:rFonts w:ascii="Palatino Linotype" w:eastAsia="Times New Roman" w:hAnsi="Palatino Linotype"/>
          <w:i/>
          <w:iCs/>
          <w:sz w:val="18"/>
          <w:szCs w:val="18"/>
        </w:rPr>
        <w:t>Plast</w:t>
      </w:r>
      <w:proofErr w:type="spellEnd"/>
      <w:r w:rsidRPr="006D3001">
        <w:rPr>
          <w:rFonts w:ascii="Palatino Linotype" w:eastAsia="Times New Roman" w:hAnsi="Palatino Linotype"/>
          <w:i/>
          <w:iCs/>
          <w:sz w:val="18"/>
          <w:szCs w:val="18"/>
        </w:rPr>
        <w:t>.</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2008</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24</w:t>
      </w:r>
      <w:r>
        <w:rPr>
          <w:rFonts w:ascii="Palatino Linotype" w:eastAsia="Times New Roman" w:hAnsi="Palatino Linotype"/>
          <w:bCs/>
          <w:sz w:val="18"/>
          <w:szCs w:val="18"/>
        </w:rPr>
        <w:t>, 1071–1096</w:t>
      </w:r>
      <w:r w:rsidRPr="006D3001">
        <w:rPr>
          <w:rFonts w:ascii="Palatino Linotype" w:eastAsia="Times New Roman" w:hAnsi="Palatino Linotype"/>
          <w:sz w:val="18"/>
          <w:szCs w:val="18"/>
        </w:rPr>
        <w:t xml:space="preserve">,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10.1016/j.ijplas</w:t>
      </w:r>
      <w:proofErr w:type="gramEnd"/>
      <w:r w:rsidRPr="006D3001">
        <w:rPr>
          <w:rFonts w:ascii="Palatino Linotype" w:eastAsia="Times New Roman" w:hAnsi="Palatino Linotype"/>
          <w:sz w:val="18"/>
          <w:szCs w:val="18"/>
        </w:rPr>
        <w:t>.2007.09.004.</w:t>
      </w:r>
    </w:p>
    <w:p w14:paraId="05DEFAA4"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Mohr, D.; </w:t>
      </w:r>
      <w:proofErr w:type="spellStart"/>
      <w:r w:rsidRPr="006D3001">
        <w:rPr>
          <w:rFonts w:ascii="Palatino Linotype" w:eastAsia="Times New Roman" w:hAnsi="Palatino Linotype"/>
          <w:sz w:val="18"/>
          <w:szCs w:val="18"/>
        </w:rPr>
        <w:t>Marcadet</w:t>
      </w:r>
      <w:proofErr w:type="spellEnd"/>
      <w:r w:rsidRPr="006D3001">
        <w:rPr>
          <w:rFonts w:ascii="Palatino Linotype" w:eastAsia="Times New Roman" w:hAnsi="Palatino Linotype"/>
          <w:sz w:val="18"/>
          <w:szCs w:val="18"/>
        </w:rPr>
        <w:t xml:space="preserve">, S.J. Micromechanically-motivated phenomenological Hosford–Coulomb model for predicting ductile fracture initiation at low stress triaxialities. </w:t>
      </w:r>
      <w:r w:rsidRPr="006D3001">
        <w:rPr>
          <w:rFonts w:ascii="Palatino Linotype" w:eastAsia="Times New Roman" w:hAnsi="Palatino Linotype"/>
          <w:i/>
          <w:iCs/>
          <w:sz w:val="18"/>
          <w:szCs w:val="18"/>
        </w:rPr>
        <w:t>Int. J. Solids Struct.</w:t>
      </w:r>
      <w:r w:rsidRPr="006D3001">
        <w:rPr>
          <w:rFonts w:ascii="Palatino Linotype" w:eastAsia="Times New Roman" w:hAnsi="Palatino Linotype"/>
          <w:sz w:val="18"/>
          <w:szCs w:val="18"/>
        </w:rPr>
        <w:t xml:space="preserve"> </w:t>
      </w:r>
      <w:r w:rsidRPr="006D3001">
        <w:rPr>
          <w:rFonts w:ascii="Palatino Linotype" w:eastAsia="Times New Roman" w:hAnsi="Palatino Linotype"/>
          <w:b/>
          <w:bCs/>
          <w:sz w:val="18"/>
          <w:szCs w:val="18"/>
        </w:rPr>
        <w:t>2015</w:t>
      </w:r>
      <w:r w:rsidRPr="006D3001">
        <w:rPr>
          <w:rFonts w:ascii="Palatino Linotype" w:eastAsia="Times New Roman" w:hAnsi="Palatino Linotype"/>
          <w:sz w:val="18"/>
          <w:szCs w:val="18"/>
        </w:rPr>
        <w:t xml:space="preserve">, </w:t>
      </w:r>
      <w:r w:rsidRPr="006D3001">
        <w:rPr>
          <w:rFonts w:ascii="Palatino Linotype" w:eastAsia="Times New Roman" w:hAnsi="Palatino Linotype"/>
          <w:i/>
          <w:iCs/>
          <w:sz w:val="18"/>
          <w:szCs w:val="18"/>
        </w:rPr>
        <w:t>67</w:t>
      </w:r>
      <w:r>
        <w:rPr>
          <w:rFonts w:ascii="Palatino Linotype" w:eastAsia="Times New Roman" w:hAnsi="Palatino Linotype"/>
          <w:i/>
          <w:iCs/>
          <w:sz w:val="18"/>
          <w:szCs w:val="18"/>
        </w:rPr>
        <w:t>–</w:t>
      </w:r>
      <w:r w:rsidRPr="006D3001">
        <w:rPr>
          <w:rFonts w:ascii="Palatino Linotype" w:eastAsia="Times New Roman" w:hAnsi="Palatino Linotype"/>
          <w:i/>
          <w:iCs/>
          <w:sz w:val="18"/>
          <w:szCs w:val="18"/>
        </w:rPr>
        <w:t>68</w:t>
      </w:r>
      <w:r w:rsidRPr="006D3001">
        <w:rPr>
          <w:rFonts w:ascii="Palatino Linotype" w:eastAsia="Times New Roman" w:hAnsi="Palatino Linotype"/>
          <w:sz w:val="18"/>
          <w:szCs w:val="18"/>
        </w:rPr>
        <w:t xml:space="preserve">, 40–55,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10.1016/j.ijsolstr</w:t>
      </w:r>
      <w:proofErr w:type="gramEnd"/>
      <w:r w:rsidRPr="006D3001">
        <w:rPr>
          <w:rFonts w:ascii="Palatino Linotype" w:eastAsia="Times New Roman" w:hAnsi="Palatino Linotype"/>
          <w:sz w:val="18"/>
          <w:szCs w:val="18"/>
        </w:rPr>
        <w:t>.2015.02.024.</w:t>
      </w:r>
    </w:p>
    <w:p w14:paraId="56421FF2"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Budiansky</w:t>
      </w:r>
      <w:proofErr w:type="spellEnd"/>
      <w:r w:rsidRPr="006D3001">
        <w:rPr>
          <w:rFonts w:ascii="Palatino Linotype" w:eastAsia="Times New Roman" w:hAnsi="Palatino Linotype"/>
          <w:sz w:val="18"/>
          <w:szCs w:val="18"/>
        </w:rPr>
        <w:t xml:space="preserve">, B.; Hutchinson, J.; Slutsky, S. Void Growth and Collapse in Viscous Solids. In </w:t>
      </w:r>
      <w:r w:rsidRPr="006D3001">
        <w:rPr>
          <w:rFonts w:ascii="Palatino Linotype" w:eastAsia="Times New Roman" w:hAnsi="Palatino Linotype"/>
          <w:i/>
          <w:iCs/>
          <w:sz w:val="18"/>
          <w:szCs w:val="18"/>
        </w:rPr>
        <w:t xml:space="preserve">Mechanics of </w:t>
      </w:r>
      <w:proofErr w:type="gramStart"/>
      <w:r w:rsidRPr="006D3001">
        <w:rPr>
          <w:rFonts w:ascii="Palatino Linotype" w:eastAsia="Times New Roman" w:hAnsi="Palatino Linotype"/>
          <w:i/>
          <w:iCs/>
          <w:sz w:val="18"/>
          <w:szCs w:val="18"/>
        </w:rPr>
        <w:t>Solids</w:t>
      </w:r>
      <w:r w:rsidRPr="006D3001">
        <w:rPr>
          <w:rFonts w:ascii="Palatino Linotype" w:eastAsia="Times New Roman" w:hAnsi="Palatino Linotype"/>
          <w:sz w:val="18"/>
          <w:szCs w:val="18"/>
        </w:rPr>
        <w:t>;</w:t>
      </w:r>
      <w:proofErr w:type="gramEnd"/>
      <w:r w:rsidRPr="006D3001">
        <w:rPr>
          <w:rFonts w:ascii="Palatino Linotype" w:eastAsia="Times New Roman" w:hAnsi="Palatino Linotype"/>
          <w:sz w:val="18"/>
          <w:szCs w:val="18"/>
        </w:rPr>
        <w:t xml:space="preserve"> </w:t>
      </w:r>
      <w:r w:rsidRPr="00A47BF3">
        <w:rPr>
          <w:rFonts w:ascii="Palatino Linotype" w:eastAsia="Times New Roman" w:hAnsi="Palatino Linotype"/>
          <w:sz w:val="18"/>
          <w:szCs w:val="18"/>
        </w:rPr>
        <w:t>Pergamon Press Ltd.</w:t>
      </w:r>
      <w:r>
        <w:rPr>
          <w:rFonts w:ascii="Palatino Linotype" w:eastAsia="Times New Roman" w:hAnsi="Palatino Linotype"/>
          <w:sz w:val="18"/>
          <w:szCs w:val="18"/>
        </w:rPr>
        <w:t>:</w:t>
      </w:r>
      <w:r w:rsidRPr="006D3001">
        <w:rPr>
          <w:rFonts w:ascii="Palatino Linotype" w:eastAsia="Times New Roman" w:hAnsi="Palatino Linotype"/>
          <w:sz w:val="18"/>
          <w:szCs w:val="18"/>
        </w:rPr>
        <w:t xml:space="preserve"> </w:t>
      </w:r>
      <w:r w:rsidRPr="00A47BF3">
        <w:rPr>
          <w:rFonts w:ascii="Palatino Linotype" w:eastAsia="Times New Roman" w:hAnsi="Palatino Linotype"/>
          <w:sz w:val="18"/>
          <w:szCs w:val="18"/>
        </w:rPr>
        <w:t>Oxford, UK</w:t>
      </w:r>
      <w:r>
        <w:rPr>
          <w:rFonts w:ascii="Palatino Linotype" w:eastAsia="Times New Roman" w:hAnsi="Palatino Linotype"/>
          <w:sz w:val="18"/>
          <w:szCs w:val="18"/>
        </w:rPr>
        <w:t xml:space="preserve">, </w:t>
      </w:r>
      <w:r w:rsidRPr="006D3001">
        <w:rPr>
          <w:rFonts w:ascii="Palatino Linotype" w:eastAsia="Times New Roman" w:hAnsi="Palatino Linotype"/>
          <w:sz w:val="18"/>
          <w:szCs w:val="18"/>
        </w:rPr>
        <w:t>1982; pp. 13–45</w:t>
      </w:r>
      <w:r>
        <w:rPr>
          <w:rFonts w:ascii="Palatino Linotype" w:eastAsia="Times New Roman" w:hAnsi="Palatino Linotype"/>
          <w:sz w:val="18"/>
          <w:szCs w:val="18"/>
        </w:rPr>
        <w:t>, doi:</w:t>
      </w:r>
      <w:r w:rsidRPr="007F443F">
        <w:rPr>
          <w:rFonts w:ascii="Palatino Linotype" w:eastAsia="Times New Roman" w:hAnsi="Palatino Linotype"/>
          <w:sz w:val="18"/>
          <w:szCs w:val="18"/>
        </w:rPr>
        <w:t>10.1016/B978-0-08-025443-2.50009-4.</w:t>
      </w:r>
    </w:p>
    <w:p w14:paraId="41D073DC"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Wilson-Heid, A.E.; Beese, A.M. </w:t>
      </w:r>
      <w:r w:rsidRPr="000E24A9">
        <w:rPr>
          <w:rFonts w:ascii="Palatino Linotype" w:eastAsia="Times New Roman" w:hAnsi="Palatino Linotype"/>
          <w:sz w:val="18"/>
          <w:szCs w:val="18"/>
        </w:rPr>
        <w:t xml:space="preserve">Combined effects of porosity and stress state on the failure behavior of laser powder bed fusion stainless steel 316L. </w:t>
      </w:r>
      <w:proofErr w:type="spellStart"/>
      <w:r w:rsidRPr="000E24A9">
        <w:rPr>
          <w:rFonts w:ascii="Palatino Linotype" w:eastAsia="Times New Roman" w:hAnsi="Palatino Linotype"/>
          <w:i/>
          <w:iCs/>
          <w:sz w:val="18"/>
          <w:szCs w:val="18"/>
        </w:rPr>
        <w:t>Addit</w:t>
      </w:r>
      <w:proofErr w:type="spellEnd"/>
      <w:r w:rsidRPr="000E24A9">
        <w:rPr>
          <w:rFonts w:ascii="Palatino Linotype" w:eastAsia="Times New Roman" w:hAnsi="Palatino Linotype"/>
          <w:i/>
          <w:iCs/>
          <w:sz w:val="18"/>
          <w:szCs w:val="18"/>
        </w:rPr>
        <w:t>. Manuf.</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2021</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39</w:t>
      </w:r>
      <w:r w:rsidRPr="000E24A9">
        <w:rPr>
          <w:rFonts w:ascii="Palatino Linotype" w:eastAsia="Times New Roman" w:hAnsi="Palatino Linotype"/>
          <w:bCs/>
          <w:sz w:val="18"/>
          <w:szCs w:val="18"/>
        </w:rPr>
        <w:t>, 101862</w:t>
      </w:r>
      <w:r w:rsidRPr="000E24A9">
        <w:rPr>
          <w:rFonts w:ascii="Palatino Linotype" w:eastAsia="Times New Roman" w:hAnsi="Palatino Linotype"/>
          <w:sz w:val="18"/>
          <w:szCs w:val="18"/>
        </w:rPr>
        <w:t xml:space="preserve">, </w:t>
      </w:r>
      <w:proofErr w:type="gramStart"/>
      <w:r w:rsidRPr="000E24A9">
        <w:rPr>
          <w:rFonts w:ascii="Palatino Linotype" w:eastAsia="Times New Roman" w:hAnsi="Palatino Linotype"/>
          <w:sz w:val="18"/>
          <w:szCs w:val="18"/>
        </w:rPr>
        <w:t>doi:10.1016/j.addma</w:t>
      </w:r>
      <w:proofErr w:type="gramEnd"/>
      <w:r w:rsidRPr="000E24A9">
        <w:rPr>
          <w:rFonts w:ascii="Palatino Linotype" w:eastAsia="Times New Roman" w:hAnsi="Palatino Linotype"/>
          <w:sz w:val="18"/>
          <w:szCs w:val="18"/>
        </w:rPr>
        <w:t>.2021.101862.</w:t>
      </w:r>
    </w:p>
    <w:p w14:paraId="74F99CCE"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t xml:space="preserve">Wilson-Heid, A.E.; Qin, S.; Beese, A.M. Multiaxial plasticity and fracture behavior of stainless steel 316L by laser powder bed fusion: Experiments and computational modeling. </w:t>
      </w:r>
      <w:r w:rsidRPr="000E24A9">
        <w:rPr>
          <w:rFonts w:ascii="Palatino Linotype" w:eastAsia="Times New Roman" w:hAnsi="Palatino Linotype"/>
          <w:i/>
          <w:iCs/>
          <w:sz w:val="18"/>
          <w:szCs w:val="18"/>
        </w:rPr>
        <w:t>Acta Mater.</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2020</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199</w:t>
      </w:r>
      <w:r w:rsidRPr="000E24A9">
        <w:rPr>
          <w:rFonts w:ascii="Palatino Linotype" w:eastAsia="Times New Roman" w:hAnsi="Palatino Linotype"/>
          <w:bCs/>
          <w:sz w:val="18"/>
          <w:szCs w:val="18"/>
        </w:rPr>
        <w:t>, 578–592</w:t>
      </w:r>
      <w:r w:rsidRPr="000E24A9">
        <w:rPr>
          <w:rFonts w:ascii="Palatino Linotype" w:eastAsia="Times New Roman" w:hAnsi="Palatino Linotype"/>
          <w:sz w:val="18"/>
          <w:szCs w:val="18"/>
        </w:rPr>
        <w:t xml:space="preserve">, </w:t>
      </w:r>
      <w:proofErr w:type="gramStart"/>
      <w:r w:rsidRPr="000E24A9">
        <w:rPr>
          <w:rFonts w:ascii="Palatino Linotype" w:eastAsia="Times New Roman" w:hAnsi="Palatino Linotype"/>
          <w:sz w:val="18"/>
          <w:szCs w:val="18"/>
        </w:rPr>
        <w:t>doi:10.1016/j.actamat</w:t>
      </w:r>
      <w:proofErr w:type="gramEnd"/>
      <w:r w:rsidRPr="000E24A9">
        <w:rPr>
          <w:rFonts w:ascii="Palatino Linotype" w:eastAsia="Times New Roman" w:hAnsi="Palatino Linotype"/>
          <w:sz w:val="18"/>
          <w:szCs w:val="18"/>
        </w:rPr>
        <w:t>.2020.08.066.</w:t>
      </w:r>
    </w:p>
    <w:p w14:paraId="27017B88" w14:textId="77777777" w:rsidR="00D54A4C" w:rsidRPr="000E24A9"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t xml:space="preserve">Wilson-Heid, A.E.; Beese, A.M. Fracture of laser powder bed fusion additively manufactured </w:t>
      </w:r>
      <w:proofErr w:type="spellStart"/>
      <w:r w:rsidRPr="000E24A9">
        <w:rPr>
          <w:rFonts w:ascii="Palatino Linotype" w:eastAsia="Times New Roman" w:hAnsi="Palatino Linotype"/>
          <w:sz w:val="18"/>
          <w:szCs w:val="18"/>
        </w:rPr>
        <w:t>Ti</w:t>
      </w:r>
      <w:proofErr w:type="spellEnd"/>
      <w:r w:rsidRPr="000E24A9">
        <w:rPr>
          <w:rFonts w:ascii="Palatino Linotype" w:eastAsia="Times New Roman" w:hAnsi="Palatino Linotype"/>
          <w:sz w:val="18"/>
          <w:szCs w:val="18"/>
        </w:rPr>
        <w:t xml:space="preserve">–6Al–4V under multiaxial loading: Calibration and comparison of fracture models. </w:t>
      </w:r>
      <w:r w:rsidRPr="000E24A9">
        <w:rPr>
          <w:rFonts w:ascii="Palatino Linotype" w:eastAsia="Times New Roman" w:hAnsi="Palatino Linotype"/>
          <w:i/>
          <w:iCs/>
          <w:sz w:val="18"/>
          <w:szCs w:val="18"/>
        </w:rPr>
        <w:t>Mater. Sci. Eng. A</w:t>
      </w:r>
      <w:r w:rsidRPr="000E24A9">
        <w:rPr>
          <w:rFonts w:ascii="Palatino Linotype" w:eastAsia="Times New Roman" w:hAnsi="Palatino Linotype"/>
          <w:sz w:val="18"/>
          <w:szCs w:val="18"/>
        </w:rPr>
        <w:t xml:space="preserve"> </w:t>
      </w:r>
      <w:r w:rsidRPr="000E24A9">
        <w:rPr>
          <w:rFonts w:ascii="Palatino Linotype" w:eastAsia="Times New Roman" w:hAnsi="Palatino Linotype"/>
          <w:b/>
          <w:bCs/>
          <w:sz w:val="18"/>
          <w:szCs w:val="18"/>
        </w:rPr>
        <w:t>2019</w:t>
      </w:r>
      <w:r w:rsidRPr="000E24A9">
        <w:rPr>
          <w:rFonts w:ascii="Palatino Linotype" w:eastAsia="Times New Roman" w:hAnsi="Palatino Linotype"/>
          <w:bCs/>
          <w:sz w:val="18"/>
          <w:szCs w:val="18"/>
        </w:rPr>
        <w:t xml:space="preserve">, </w:t>
      </w:r>
      <w:r w:rsidRPr="000E24A9">
        <w:rPr>
          <w:rFonts w:ascii="Palatino Linotype" w:eastAsia="Times New Roman" w:hAnsi="Palatino Linotype"/>
          <w:bCs/>
          <w:i/>
          <w:sz w:val="18"/>
          <w:szCs w:val="18"/>
        </w:rPr>
        <w:t>761</w:t>
      </w:r>
      <w:r w:rsidRPr="000E24A9">
        <w:rPr>
          <w:rFonts w:ascii="Palatino Linotype" w:eastAsia="Times New Roman" w:hAnsi="Palatino Linotype"/>
          <w:bCs/>
          <w:sz w:val="18"/>
          <w:szCs w:val="18"/>
        </w:rPr>
        <w:t>, 137967</w:t>
      </w:r>
      <w:r w:rsidRPr="000E24A9">
        <w:rPr>
          <w:rFonts w:ascii="Palatino Linotype" w:eastAsia="Times New Roman" w:hAnsi="Palatino Linotype"/>
          <w:sz w:val="18"/>
          <w:szCs w:val="18"/>
        </w:rPr>
        <w:t xml:space="preserve">, </w:t>
      </w:r>
      <w:proofErr w:type="gramStart"/>
      <w:r w:rsidRPr="000E24A9">
        <w:rPr>
          <w:rFonts w:ascii="Palatino Linotype" w:eastAsia="Times New Roman" w:hAnsi="Palatino Linotype"/>
          <w:sz w:val="18"/>
          <w:szCs w:val="18"/>
        </w:rPr>
        <w:t>doi:10.1016/j.msea</w:t>
      </w:r>
      <w:proofErr w:type="gramEnd"/>
      <w:r w:rsidRPr="000E24A9">
        <w:rPr>
          <w:rFonts w:ascii="Palatino Linotype" w:eastAsia="Times New Roman" w:hAnsi="Palatino Linotype"/>
          <w:sz w:val="18"/>
          <w:szCs w:val="18"/>
        </w:rPr>
        <w:t>.2019.05.097.</w:t>
      </w:r>
    </w:p>
    <w:p w14:paraId="7EECCB12"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0E24A9">
        <w:rPr>
          <w:rFonts w:ascii="Palatino Linotype" w:eastAsia="Times New Roman" w:hAnsi="Palatino Linotype"/>
          <w:sz w:val="18"/>
          <w:szCs w:val="18"/>
        </w:rPr>
        <w:t xml:space="preserve">Wilson-Heid, A.E.; Qin, S.; Beese, A.M. Anisotropic multiaxial plasticity model for laser powder </w:t>
      </w:r>
      <w:r w:rsidRPr="006D3001">
        <w:rPr>
          <w:rFonts w:ascii="Palatino Linotype" w:eastAsia="Times New Roman" w:hAnsi="Palatino Linotype"/>
          <w:sz w:val="18"/>
          <w:szCs w:val="18"/>
        </w:rPr>
        <w:t xml:space="preserve">bed fusion additively manufactured Ti-6Al-4V. </w:t>
      </w:r>
      <w:r w:rsidRPr="006D3001">
        <w:rPr>
          <w:rFonts w:ascii="Palatino Linotype" w:eastAsia="Times New Roman" w:hAnsi="Palatino Linotype"/>
          <w:i/>
          <w:iCs/>
          <w:sz w:val="18"/>
          <w:szCs w:val="18"/>
        </w:rPr>
        <w:t>Mater. Sci. Eng. A</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2018</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738</w:t>
      </w:r>
      <w:r>
        <w:rPr>
          <w:rFonts w:ascii="Palatino Linotype" w:eastAsia="Times New Roman" w:hAnsi="Palatino Linotype"/>
          <w:bCs/>
          <w:sz w:val="18"/>
          <w:szCs w:val="18"/>
        </w:rPr>
        <w:t>, 90–97</w:t>
      </w:r>
      <w:r w:rsidRPr="006D3001">
        <w:rPr>
          <w:rFonts w:ascii="Palatino Linotype" w:eastAsia="Times New Roman" w:hAnsi="Palatino Linotype"/>
          <w:sz w:val="18"/>
          <w:szCs w:val="18"/>
        </w:rPr>
        <w:t xml:space="preserve">,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10.1016/j.msea</w:t>
      </w:r>
      <w:proofErr w:type="gramEnd"/>
      <w:r w:rsidRPr="006D3001">
        <w:rPr>
          <w:rFonts w:ascii="Palatino Linotype" w:eastAsia="Times New Roman" w:hAnsi="Palatino Linotype"/>
          <w:sz w:val="18"/>
          <w:szCs w:val="18"/>
        </w:rPr>
        <w:t>.2018.09.077.</w:t>
      </w:r>
    </w:p>
    <w:p w14:paraId="5D377A5B" w14:textId="62345A70"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Furton</w:t>
      </w:r>
      <w:proofErr w:type="spellEnd"/>
      <w:r w:rsidRPr="006D3001">
        <w:rPr>
          <w:rFonts w:ascii="Palatino Linotype" w:eastAsia="Times New Roman" w:hAnsi="Palatino Linotype"/>
          <w:sz w:val="18"/>
          <w:szCs w:val="18"/>
        </w:rPr>
        <w:t>, E.</w:t>
      </w:r>
      <w:r w:rsidR="004759CB">
        <w:rPr>
          <w:rFonts w:ascii="Palatino Linotype" w:eastAsia="Times New Roman" w:hAnsi="Palatino Linotype"/>
          <w:sz w:val="18"/>
          <w:szCs w:val="18"/>
        </w:rPr>
        <w:t xml:space="preserve"> T.</w:t>
      </w:r>
      <w:r w:rsidRPr="006D3001">
        <w:rPr>
          <w:rFonts w:ascii="Palatino Linotype" w:eastAsia="Times New Roman" w:hAnsi="Palatino Linotype"/>
          <w:sz w:val="18"/>
          <w:szCs w:val="18"/>
        </w:rPr>
        <w:t xml:space="preserve">; Wilson-Heid, A.E.; Beese, A.M. Effect of stress triaxiality and </w:t>
      </w:r>
      <w:r w:rsidR="004759CB">
        <w:rPr>
          <w:rFonts w:ascii="Palatino Linotype" w:eastAsia="Times New Roman" w:hAnsi="Palatino Linotype"/>
          <w:sz w:val="18"/>
          <w:szCs w:val="18"/>
        </w:rPr>
        <w:t>penny-shaped pores</w:t>
      </w:r>
      <w:r w:rsidRPr="006D3001">
        <w:rPr>
          <w:rFonts w:ascii="Palatino Linotype" w:eastAsia="Times New Roman" w:hAnsi="Palatino Linotype"/>
          <w:sz w:val="18"/>
          <w:szCs w:val="18"/>
        </w:rPr>
        <w:t xml:space="preserve"> on tensile properties of laser powder bed fusion Ti</w:t>
      </w:r>
      <w:r w:rsidRPr="006D3001">
        <w:rPr>
          <w:rFonts w:ascii="Palatino Linotype" w:eastAsia="Times New Roman" w:hAnsi="Palatino Linotype"/>
          <w:sz w:val="18"/>
          <w:szCs w:val="18"/>
        </w:rPr>
        <w:noBreakHyphen/>
        <w:t>6Al</w:t>
      </w:r>
      <w:r w:rsidRPr="006D3001">
        <w:rPr>
          <w:rFonts w:ascii="Palatino Linotype" w:eastAsia="Times New Roman" w:hAnsi="Palatino Linotype"/>
          <w:sz w:val="18"/>
          <w:szCs w:val="18"/>
        </w:rPr>
        <w:noBreakHyphen/>
        <w:t xml:space="preserve">4V. </w:t>
      </w:r>
      <w:r w:rsidRPr="000E24A9">
        <w:rPr>
          <w:rFonts w:ascii="Palatino Linotype" w:eastAsia="Times New Roman" w:hAnsi="Palatino Linotype"/>
          <w:i/>
          <w:sz w:val="18"/>
          <w:szCs w:val="18"/>
        </w:rPr>
        <w:t>Submitt</w:t>
      </w:r>
      <w:r w:rsidR="00615347">
        <w:rPr>
          <w:rFonts w:ascii="Palatino Linotype" w:eastAsia="Times New Roman" w:hAnsi="Palatino Linotype"/>
          <w:i/>
          <w:sz w:val="18"/>
          <w:szCs w:val="18"/>
        </w:rPr>
        <w:t>ed for publication</w:t>
      </w:r>
      <w:r w:rsidRPr="000E24A9">
        <w:rPr>
          <w:rFonts w:ascii="Palatino Linotype" w:eastAsia="Times New Roman" w:hAnsi="Palatino Linotype"/>
          <w:i/>
          <w:sz w:val="18"/>
          <w:szCs w:val="18"/>
        </w:rPr>
        <w:t>.</w:t>
      </w:r>
      <w:r w:rsidRPr="006D3001">
        <w:rPr>
          <w:rFonts w:ascii="Palatino Linotype" w:eastAsia="Times New Roman" w:hAnsi="Palatino Linotype"/>
          <w:sz w:val="18"/>
          <w:szCs w:val="18"/>
        </w:rPr>
        <w:t xml:space="preserve"> </w:t>
      </w:r>
      <w:r w:rsidRPr="00CE3663">
        <w:rPr>
          <w:rFonts w:ascii="Palatino Linotype" w:eastAsia="Times New Roman" w:hAnsi="Palatino Linotype"/>
          <w:b/>
          <w:sz w:val="18"/>
          <w:szCs w:val="18"/>
          <w:highlight w:val="yellow"/>
        </w:rPr>
        <w:t>2021</w:t>
      </w:r>
      <w:r w:rsidRPr="00CE3663">
        <w:rPr>
          <w:rFonts w:ascii="Palatino Linotype" w:eastAsia="Times New Roman" w:hAnsi="Palatino Linotype"/>
          <w:sz w:val="18"/>
          <w:szCs w:val="18"/>
          <w:highlight w:val="yellow"/>
        </w:rPr>
        <w:t>.</w:t>
      </w:r>
    </w:p>
    <w:p w14:paraId="345DE8F9" w14:textId="0833EFCD"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Simulia</w:t>
      </w:r>
      <w:proofErr w:type="spellEnd"/>
      <w:r w:rsidRPr="006D3001">
        <w:rPr>
          <w:rFonts w:ascii="Palatino Linotype" w:eastAsia="Times New Roman" w:hAnsi="Palatino Linotype"/>
          <w:sz w:val="18"/>
          <w:szCs w:val="18"/>
        </w:rPr>
        <w:t xml:space="preserve">, Abaqus User Manual v2016. 2016. Available online: </w:t>
      </w:r>
      <w:hyperlink r:id="rId16" w:history="1">
        <w:r w:rsidRPr="00616574">
          <w:rPr>
            <w:rStyle w:val="Hyperlink"/>
            <w:rFonts w:ascii="Palatino Linotype" w:eastAsia="Times New Roman" w:hAnsi="Palatino Linotype"/>
            <w:color w:val="auto"/>
            <w:sz w:val="18"/>
            <w:szCs w:val="18"/>
            <w:u w:val="none"/>
          </w:rPr>
          <w:t>https://www.3ds.com/products-services/simulia/</w:t>
        </w:r>
      </w:hyperlink>
      <w:r w:rsidRPr="00616574">
        <w:rPr>
          <w:rFonts w:ascii="Palatino Linotype" w:eastAsia="Times New Roman" w:hAnsi="Palatino Linotype"/>
          <w:sz w:val="18"/>
          <w:szCs w:val="18"/>
        </w:rPr>
        <w:t xml:space="preserve"> </w:t>
      </w:r>
      <w:r w:rsidRPr="006D3001">
        <w:rPr>
          <w:rFonts w:ascii="Palatino Linotype" w:eastAsia="Times New Roman" w:hAnsi="Palatino Linotype"/>
          <w:sz w:val="18"/>
          <w:szCs w:val="18"/>
        </w:rPr>
        <w:t>(</w:t>
      </w:r>
      <w:r w:rsidRPr="006D3001">
        <w:rPr>
          <w:rFonts w:ascii="Palatino Linotype" w:eastAsia="Times New Roman" w:hAnsi="Palatino Linotype"/>
          <w:sz w:val="18"/>
          <w:szCs w:val="18"/>
          <w:highlight w:val="yellow"/>
        </w:rPr>
        <w:t>accessed on</w:t>
      </w:r>
      <w:r w:rsidR="00226317">
        <w:rPr>
          <w:rFonts w:ascii="Palatino Linotype" w:eastAsia="Times New Roman" w:hAnsi="Palatino Linotype"/>
          <w:sz w:val="18"/>
          <w:szCs w:val="18"/>
          <w:highlight w:val="yellow"/>
        </w:rPr>
        <w:t xml:space="preserve"> 2020/11/01</w:t>
      </w:r>
      <w:r w:rsidRPr="006D3001">
        <w:rPr>
          <w:rFonts w:ascii="Palatino Linotype" w:eastAsia="Times New Roman" w:hAnsi="Palatino Linotype"/>
          <w:sz w:val="18"/>
          <w:szCs w:val="18"/>
          <w:highlight w:val="yellow"/>
        </w:rPr>
        <w:t>).</w:t>
      </w:r>
    </w:p>
    <w:p w14:paraId="11BF7239"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Bai, Y.; </w:t>
      </w:r>
      <w:proofErr w:type="spellStart"/>
      <w:r w:rsidRPr="006D3001">
        <w:rPr>
          <w:rFonts w:ascii="Palatino Linotype" w:eastAsia="Times New Roman" w:hAnsi="Palatino Linotype"/>
          <w:sz w:val="18"/>
          <w:szCs w:val="18"/>
        </w:rPr>
        <w:t>Wierzbicki</w:t>
      </w:r>
      <w:proofErr w:type="spellEnd"/>
      <w:r w:rsidRPr="006D3001">
        <w:rPr>
          <w:rFonts w:ascii="Palatino Linotype" w:eastAsia="Times New Roman" w:hAnsi="Palatino Linotype"/>
          <w:sz w:val="18"/>
          <w:szCs w:val="18"/>
        </w:rPr>
        <w:t xml:space="preserve">, T. Application of extended Mohr–Coulomb criterion to ductile fracture. </w:t>
      </w:r>
      <w:r w:rsidRPr="006D3001">
        <w:rPr>
          <w:rFonts w:ascii="Palatino Linotype" w:eastAsia="Times New Roman" w:hAnsi="Palatino Linotype"/>
          <w:i/>
          <w:iCs/>
          <w:sz w:val="18"/>
          <w:szCs w:val="18"/>
        </w:rPr>
        <w:t xml:space="preserve">Int. J. </w:t>
      </w:r>
      <w:proofErr w:type="spellStart"/>
      <w:r w:rsidRPr="006D3001">
        <w:rPr>
          <w:rFonts w:ascii="Palatino Linotype" w:eastAsia="Times New Roman" w:hAnsi="Palatino Linotype"/>
          <w:i/>
          <w:iCs/>
          <w:sz w:val="18"/>
          <w:szCs w:val="18"/>
        </w:rPr>
        <w:t>Fract</w:t>
      </w:r>
      <w:proofErr w:type="spellEnd"/>
      <w:r w:rsidRPr="006D3001">
        <w:rPr>
          <w:rFonts w:ascii="Palatino Linotype" w:eastAsia="Times New Roman" w:hAnsi="Palatino Linotype"/>
          <w:i/>
          <w:iCs/>
          <w:sz w:val="18"/>
          <w:szCs w:val="18"/>
        </w:rPr>
        <w:t>.</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2010</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161</w:t>
      </w:r>
      <w:r>
        <w:rPr>
          <w:rFonts w:ascii="Palatino Linotype" w:eastAsia="Times New Roman" w:hAnsi="Palatino Linotype"/>
          <w:bCs/>
          <w:sz w:val="18"/>
          <w:szCs w:val="18"/>
        </w:rPr>
        <w:t>, 1–20</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10.1007/s10704-009-9422-8.</w:t>
      </w:r>
    </w:p>
    <w:p w14:paraId="788DBF68"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Gu, G.; Mohr, D. Anisotropic Hosford–Coulomb fracture initiation model: Theory and application. </w:t>
      </w:r>
      <w:r w:rsidRPr="006D3001">
        <w:rPr>
          <w:rFonts w:ascii="Palatino Linotype" w:eastAsia="Times New Roman" w:hAnsi="Palatino Linotype"/>
          <w:i/>
          <w:iCs/>
          <w:sz w:val="18"/>
          <w:szCs w:val="18"/>
        </w:rPr>
        <w:t xml:space="preserve">Eng. </w:t>
      </w:r>
      <w:proofErr w:type="spellStart"/>
      <w:r w:rsidRPr="006D3001">
        <w:rPr>
          <w:rFonts w:ascii="Palatino Linotype" w:eastAsia="Times New Roman" w:hAnsi="Palatino Linotype"/>
          <w:i/>
          <w:iCs/>
          <w:sz w:val="18"/>
          <w:szCs w:val="18"/>
        </w:rPr>
        <w:t>Fract</w:t>
      </w:r>
      <w:proofErr w:type="spellEnd"/>
      <w:r w:rsidRPr="006D3001">
        <w:rPr>
          <w:rFonts w:ascii="Palatino Linotype" w:eastAsia="Times New Roman" w:hAnsi="Palatino Linotype"/>
          <w:i/>
          <w:iCs/>
          <w:sz w:val="18"/>
          <w:szCs w:val="18"/>
        </w:rPr>
        <w:t>. Mech.</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2015</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147</w:t>
      </w:r>
      <w:r>
        <w:rPr>
          <w:rFonts w:ascii="Palatino Linotype" w:eastAsia="Times New Roman" w:hAnsi="Palatino Linotype"/>
          <w:bCs/>
          <w:sz w:val="18"/>
          <w:szCs w:val="18"/>
        </w:rPr>
        <w:t>, 480–497</w:t>
      </w:r>
      <w:r w:rsidRPr="006D3001">
        <w:rPr>
          <w:rFonts w:ascii="Palatino Linotype" w:eastAsia="Times New Roman" w:hAnsi="Palatino Linotype"/>
          <w:sz w:val="18"/>
          <w:szCs w:val="18"/>
        </w:rPr>
        <w:t xml:space="preserve">, </w:t>
      </w:r>
      <w:proofErr w:type="gramStart"/>
      <w:r>
        <w:rPr>
          <w:rFonts w:ascii="Palatino Linotype" w:eastAsia="Times New Roman" w:hAnsi="Palatino Linotype"/>
          <w:sz w:val="18"/>
          <w:szCs w:val="18"/>
        </w:rPr>
        <w:t>doi:</w:t>
      </w:r>
      <w:r w:rsidRPr="006D3001">
        <w:rPr>
          <w:rFonts w:ascii="Palatino Linotype" w:eastAsia="Times New Roman" w:hAnsi="Palatino Linotype"/>
          <w:sz w:val="18"/>
          <w:szCs w:val="18"/>
        </w:rPr>
        <w:t>10.1016/j.engfracmech</w:t>
      </w:r>
      <w:proofErr w:type="gramEnd"/>
      <w:r w:rsidRPr="006D3001">
        <w:rPr>
          <w:rFonts w:ascii="Palatino Linotype" w:eastAsia="Times New Roman" w:hAnsi="Palatino Linotype"/>
          <w:sz w:val="18"/>
          <w:szCs w:val="18"/>
        </w:rPr>
        <w:t>.2015.08.004.</w:t>
      </w:r>
    </w:p>
    <w:p w14:paraId="70F4FCA7"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Labuz</w:t>
      </w:r>
      <w:proofErr w:type="spellEnd"/>
      <w:r w:rsidRPr="006D3001">
        <w:rPr>
          <w:rFonts w:ascii="Palatino Linotype" w:eastAsia="Times New Roman" w:hAnsi="Palatino Linotype"/>
          <w:sz w:val="18"/>
          <w:szCs w:val="18"/>
        </w:rPr>
        <w:t xml:space="preserve">, J.F.; Zang, A. Mohr–Coulomb Failure Criterion. </w:t>
      </w:r>
      <w:r w:rsidRPr="006D3001">
        <w:rPr>
          <w:rFonts w:ascii="Palatino Linotype" w:eastAsia="Times New Roman" w:hAnsi="Palatino Linotype"/>
          <w:i/>
          <w:iCs/>
          <w:sz w:val="18"/>
          <w:szCs w:val="18"/>
        </w:rPr>
        <w:t>Rock Mech. Rock Eng.</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2012</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45</w:t>
      </w:r>
      <w:r>
        <w:rPr>
          <w:rFonts w:ascii="Palatino Linotype" w:eastAsia="Times New Roman" w:hAnsi="Palatino Linotype"/>
          <w:bCs/>
          <w:sz w:val="18"/>
          <w:szCs w:val="18"/>
        </w:rPr>
        <w:t>, 975–979</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10.1007/s00603-012-0281-7.</w:t>
      </w:r>
    </w:p>
    <w:p w14:paraId="018D86E3"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Coulomb, C. </w:t>
      </w:r>
      <w:proofErr w:type="spellStart"/>
      <w:r w:rsidRPr="006D3001">
        <w:rPr>
          <w:rFonts w:ascii="Palatino Linotype" w:eastAsia="Times New Roman" w:hAnsi="Palatino Linotype"/>
          <w:sz w:val="18"/>
          <w:szCs w:val="18"/>
        </w:rPr>
        <w:t>Essai</w:t>
      </w:r>
      <w:proofErr w:type="spellEnd"/>
      <w:r w:rsidRPr="006D3001">
        <w:rPr>
          <w:rFonts w:ascii="Palatino Linotype" w:eastAsia="Times New Roman" w:hAnsi="Palatino Linotype"/>
          <w:sz w:val="18"/>
          <w:szCs w:val="18"/>
        </w:rPr>
        <w:t xml:space="preserve"> sur </w:t>
      </w:r>
      <w:proofErr w:type="spellStart"/>
      <w:r w:rsidRPr="006D3001">
        <w:rPr>
          <w:rFonts w:ascii="Palatino Linotype" w:eastAsia="Times New Roman" w:hAnsi="Palatino Linotype"/>
          <w:sz w:val="18"/>
          <w:szCs w:val="18"/>
        </w:rPr>
        <w:t>une</w:t>
      </w:r>
      <w:proofErr w:type="spellEnd"/>
      <w:r w:rsidRPr="006D3001">
        <w:rPr>
          <w:rFonts w:ascii="Palatino Linotype" w:eastAsia="Times New Roman" w:hAnsi="Palatino Linotype"/>
          <w:sz w:val="18"/>
          <w:szCs w:val="18"/>
        </w:rPr>
        <w:t xml:space="preserve"> application des </w:t>
      </w:r>
      <w:proofErr w:type="spellStart"/>
      <w:r w:rsidRPr="006D3001">
        <w:rPr>
          <w:rFonts w:ascii="Palatino Linotype" w:eastAsia="Times New Roman" w:hAnsi="Palatino Linotype"/>
          <w:sz w:val="18"/>
          <w:szCs w:val="18"/>
        </w:rPr>
        <w:t>règles</w:t>
      </w:r>
      <w:proofErr w:type="spellEnd"/>
      <w:r w:rsidRPr="006D3001">
        <w:rPr>
          <w:rFonts w:ascii="Palatino Linotype" w:eastAsia="Times New Roman" w:hAnsi="Palatino Linotype"/>
          <w:sz w:val="18"/>
          <w:szCs w:val="18"/>
        </w:rPr>
        <w:t xml:space="preserve"> des </w:t>
      </w:r>
      <w:proofErr w:type="spellStart"/>
      <w:r w:rsidRPr="006D3001">
        <w:rPr>
          <w:rFonts w:ascii="Palatino Linotype" w:eastAsia="Times New Roman" w:hAnsi="Palatino Linotype"/>
          <w:sz w:val="18"/>
          <w:szCs w:val="18"/>
        </w:rPr>
        <w:t>maximis</w:t>
      </w:r>
      <w:proofErr w:type="spellEnd"/>
      <w:r w:rsidRPr="006D3001">
        <w:rPr>
          <w:rFonts w:ascii="Palatino Linotype" w:eastAsia="Times New Roman" w:hAnsi="Palatino Linotype"/>
          <w:sz w:val="18"/>
          <w:szCs w:val="18"/>
        </w:rPr>
        <w:t xml:space="preserve"> et minimis à </w:t>
      </w:r>
      <w:proofErr w:type="spellStart"/>
      <w:r w:rsidRPr="006D3001">
        <w:rPr>
          <w:rFonts w:ascii="Palatino Linotype" w:eastAsia="Times New Roman" w:hAnsi="Palatino Linotype"/>
          <w:sz w:val="18"/>
          <w:szCs w:val="18"/>
        </w:rPr>
        <w:t>quelques</w:t>
      </w:r>
      <w:proofErr w:type="spellEnd"/>
      <w:r w:rsidRPr="006D3001">
        <w:rPr>
          <w:rFonts w:ascii="Palatino Linotype" w:eastAsia="Times New Roman" w:hAnsi="Palatino Linotype"/>
          <w:sz w:val="18"/>
          <w:szCs w:val="18"/>
        </w:rPr>
        <w:t xml:space="preserve"> </w:t>
      </w:r>
      <w:proofErr w:type="spellStart"/>
      <w:r w:rsidRPr="006D3001">
        <w:rPr>
          <w:rFonts w:ascii="Palatino Linotype" w:eastAsia="Times New Roman" w:hAnsi="Palatino Linotype"/>
          <w:sz w:val="18"/>
          <w:szCs w:val="18"/>
        </w:rPr>
        <w:t>problèmes</w:t>
      </w:r>
      <w:proofErr w:type="spellEnd"/>
      <w:r w:rsidRPr="006D3001">
        <w:rPr>
          <w:rFonts w:ascii="Palatino Linotype" w:eastAsia="Times New Roman" w:hAnsi="Palatino Linotype"/>
          <w:sz w:val="18"/>
          <w:szCs w:val="18"/>
        </w:rPr>
        <w:t xml:space="preserve"> de </w:t>
      </w:r>
      <w:proofErr w:type="spellStart"/>
      <w:r w:rsidRPr="006D3001">
        <w:rPr>
          <w:rFonts w:ascii="Palatino Linotype" w:eastAsia="Times New Roman" w:hAnsi="Palatino Linotype"/>
          <w:sz w:val="18"/>
          <w:szCs w:val="18"/>
        </w:rPr>
        <w:t>statique</w:t>
      </w:r>
      <w:proofErr w:type="spellEnd"/>
      <w:r w:rsidRPr="006D3001">
        <w:rPr>
          <w:rFonts w:ascii="Palatino Linotype" w:eastAsia="Times New Roman" w:hAnsi="Palatino Linotype"/>
          <w:sz w:val="18"/>
          <w:szCs w:val="18"/>
        </w:rPr>
        <w:t xml:space="preserve"> </w:t>
      </w:r>
      <w:proofErr w:type="spellStart"/>
      <w:r w:rsidRPr="006D3001">
        <w:rPr>
          <w:rFonts w:ascii="Palatino Linotype" w:eastAsia="Times New Roman" w:hAnsi="Palatino Linotype"/>
          <w:sz w:val="18"/>
          <w:szCs w:val="18"/>
        </w:rPr>
        <w:t>relatifs</w:t>
      </w:r>
      <w:proofErr w:type="spellEnd"/>
      <w:r w:rsidRPr="006D3001">
        <w:rPr>
          <w:rFonts w:ascii="Palatino Linotype" w:eastAsia="Times New Roman" w:hAnsi="Palatino Linotype"/>
          <w:sz w:val="18"/>
          <w:szCs w:val="18"/>
        </w:rPr>
        <w:t xml:space="preserve"> à </w:t>
      </w:r>
      <w:proofErr w:type="spellStart"/>
      <w:r w:rsidRPr="006D3001">
        <w:rPr>
          <w:rFonts w:ascii="Palatino Linotype" w:eastAsia="Times New Roman" w:hAnsi="Palatino Linotype"/>
          <w:sz w:val="18"/>
          <w:szCs w:val="18"/>
        </w:rPr>
        <w:t>l’architecture</w:t>
      </w:r>
      <w:proofErr w:type="spellEnd"/>
      <w:r w:rsidRPr="006D3001">
        <w:rPr>
          <w:rFonts w:ascii="Palatino Linotype" w:eastAsia="Times New Roman" w:hAnsi="Palatino Linotype"/>
          <w:sz w:val="18"/>
          <w:szCs w:val="18"/>
        </w:rPr>
        <w:t xml:space="preserve">. </w:t>
      </w:r>
      <w:r w:rsidRPr="006D3001">
        <w:rPr>
          <w:rFonts w:ascii="Palatino Linotype" w:eastAsia="Times New Roman" w:hAnsi="Palatino Linotype"/>
          <w:i/>
          <w:sz w:val="18"/>
          <w:szCs w:val="18"/>
        </w:rPr>
        <w:t>Mem. Acad. Roy. Div. Sav.</w:t>
      </w:r>
      <w:r w:rsidRPr="006D3001">
        <w:rPr>
          <w:rFonts w:ascii="Palatino Linotype" w:eastAsia="Times New Roman" w:hAnsi="Palatino Linotype"/>
          <w:sz w:val="18"/>
          <w:szCs w:val="18"/>
        </w:rPr>
        <w:t xml:space="preserve"> </w:t>
      </w:r>
      <w:r>
        <w:rPr>
          <w:rFonts w:ascii="Palatino Linotype" w:eastAsia="Times New Roman" w:hAnsi="Palatino Linotype"/>
          <w:b/>
          <w:sz w:val="18"/>
          <w:szCs w:val="18"/>
        </w:rPr>
        <w:t>1776</w:t>
      </w:r>
      <w:r>
        <w:rPr>
          <w:rFonts w:ascii="Palatino Linotype" w:eastAsia="Times New Roman" w:hAnsi="Palatino Linotype"/>
          <w:sz w:val="18"/>
          <w:szCs w:val="18"/>
        </w:rPr>
        <w:t xml:space="preserve">, </w:t>
      </w:r>
      <w:r>
        <w:rPr>
          <w:rFonts w:ascii="Palatino Linotype" w:eastAsia="Times New Roman" w:hAnsi="Palatino Linotype"/>
          <w:i/>
          <w:sz w:val="18"/>
          <w:szCs w:val="18"/>
        </w:rPr>
        <w:t>7</w:t>
      </w:r>
      <w:r>
        <w:rPr>
          <w:rFonts w:ascii="Palatino Linotype" w:eastAsia="Times New Roman" w:hAnsi="Palatino Linotype"/>
          <w:sz w:val="18"/>
          <w:szCs w:val="18"/>
        </w:rPr>
        <w:t>, 343–387</w:t>
      </w:r>
      <w:r w:rsidRPr="006D3001">
        <w:rPr>
          <w:rFonts w:ascii="Palatino Linotype" w:eastAsia="Times New Roman" w:hAnsi="Palatino Linotype"/>
          <w:sz w:val="18"/>
          <w:szCs w:val="18"/>
        </w:rPr>
        <w:t>.</w:t>
      </w:r>
    </w:p>
    <w:p w14:paraId="2D7C5B74" w14:textId="77777777" w:rsidR="00D54A4C" w:rsidRPr="006D3001" w:rsidRDefault="00D54A4C" w:rsidP="00D54A4C">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r w:rsidRPr="006D3001">
        <w:rPr>
          <w:rFonts w:ascii="Palatino Linotype" w:eastAsia="Times New Roman" w:hAnsi="Palatino Linotype"/>
          <w:sz w:val="18"/>
          <w:szCs w:val="18"/>
        </w:rPr>
        <w:t xml:space="preserve">Hosford, W.F. A Generalized Isotropic Yield Criterion. </w:t>
      </w:r>
      <w:r w:rsidRPr="006D3001">
        <w:rPr>
          <w:rFonts w:ascii="Palatino Linotype" w:eastAsia="Times New Roman" w:hAnsi="Palatino Linotype"/>
          <w:i/>
          <w:iCs/>
          <w:sz w:val="18"/>
          <w:szCs w:val="18"/>
        </w:rPr>
        <w:t>J. Appl. Mech.</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1972</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39</w:t>
      </w:r>
      <w:r>
        <w:rPr>
          <w:rFonts w:ascii="Palatino Linotype" w:eastAsia="Times New Roman" w:hAnsi="Palatino Linotype"/>
          <w:bCs/>
          <w:sz w:val="18"/>
          <w:szCs w:val="18"/>
        </w:rPr>
        <w:t>, 607–609</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10.1115/1.3422732.</w:t>
      </w:r>
    </w:p>
    <w:p w14:paraId="22E9F595" w14:textId="0ABB7859" w:rsidR="00A11CF6" w:rsidRPr="00D54A4C" w:rsidRDefault="00D54A4C" w:rsidP="00257B12">
      <w:pPr>
        <w:pStyle w:val="ListParagraph"/>
        <w:numPr>
          <w:ilvl w:val="0"/>
          <w:numId w:val="31"/>
        </w:numPr>
        <w:adjustRightInd w:val="0"/>
        <w:snapToGrid w:val="0"/>
        <w:spacing w:after="0" w:line="228" w:lineRule="auto"/>
        <w:ind w:left="425" w:hanging="425"/>
        <w:jc w:val="both"/>
        <w:rPr>
          <w:rFonts w:ascii="Palatino Linotype" w:eastAsia="Times New Roman" w:hAnsi="Palatino Linotype"/>
          <w:sz w:val="18"/>
          <w:szCs w:val="18"/>
        </w:rPr>
      </w:pPr>
      <w:proofErr w:type="spellStart"/>
      <w:r w:rsidRPr="006D3001">
        <w:rPr>
          <w:rFonts w:ascii="Palatino Linotype" w:eastAsia="Times New Roman" w:hAnsi="Palatino Linotype"/>
          <w:sz w:val="18"/>
          <w:szCs w:val="18"/>
        </w:rPr>
        <w:t>Ghahremaninezhad</w:t>
      </w:r>
      <w:proofErr w:type="spellEnd"/>
      <w:r w:rsidRPr="006D3001">
        <w:rPr>
          <w:rFonts w:ascii="Palatino Linotype" w:eastAsia="Times New Roman" w:hAnsi="Palatino Linotype"/>
          <w:sz w:val="18"/>
          <w:szCs w:val="18"/>
        </w:rPr>
        <w:t>, A.; Ravi-</w:t>
      </w:r>
      <w:proofErr w:type="spellStart"/>
      <w:r w:rsidRPr="006D3001">
        <w:rPr>
          <w:rFonts w:ascii="Palatino Linotype" w:eastAsia="Times New Roman" w:hAnsi="Palatino Linotype"/>
          <w:sz w:val="18"/>
          <w:szCs w:val="18"/>
        </w:rPr>
        <w:t>Chandar</w:t>
      </w:r>
      <w:proofErr w:type="spellEnd"/>
      <w:r w:rsidRPr="006D3001">
        <w:rPr>
          <w:rFonts w:ascii="Palatino Linotype" w:eastAsia="Times New Roman" w:hAnsi="Palatino Linotype"/>
          <w:sz w:val="18"/>
          <w:szCs w:val="18"/>
        </w:rPr>
        <w:t xml:space="preserve">, K. Ductile failure behavior of polycrystalline Al 6061-T6 under shear dominant loading. </w:t>
      </w:r>
      <w:r w:rsidRPr="006D3001">
        <w:rPr>
          <w:rFonts w:ascii="Palatino Linotype" w:eastAsia="Times New Roman" w:hAnsi="Palatino Linotype"/>
          <w:i/>
          <w:iCs/>
          <w:sz w:val="18"/>
          <w:szCs w:val="18"/>
        </w:rPr>
        <w:t xml:space="preserve">Int. J. </w:t>
      </w:r>
      <w:proofErr w:type="spellStart"/>
      <w:r w:rsidRPr="006D3001">
        <w:rPr>
          <w:rFonts w:ascii="Palatino Linotype" w:eastAsia="Times New Roman" w:hAnsi="Palatino Linotype"/>
          <w:i/>
          <w:iCs/>
          <w:sz w:val="18"/>
          <w:szCs w:val="18"/>
        </w:rPr>
        <w:t>Fract</w:t>
      </w:r>
      <w:proofErr w:type="spellEnd"/>
      <w:r w:rsidRPr="006D3001">
        <w:rPr>
          <w:rFonts w:ascii="Palatino Linotype" w:eastAsia="Times New Roman" w:hAnsi="Palatino Linotype"/>
          <w:i/>
          <w:iCs/>
          <w:sz w:val="18"/>
          <w:szCs w:val="18"/>
        </w:rPr>
        <w:t>.</w:t>
      </w:r>
      <w:r w:rsidRPr="006D3001">
        <w:rPr>
          <w:rFonts w:ascii="Palatino Linotype" w:eastAsia="Times New Roman" w:hAnsi="Palatino Linotype"/>
          <w:sz w:val="18"/>
          <w:szCs w:val="18"/>
        </w:rPr>
        <w:t xml:space="preserve"> </w:t>
      </w:r>
      <w:r>
        <w:rPr>
          <w:rFonts w:ascii="Palatino Linotype" w:eastAsia="Times New Roman" w:hAnsi="Palatino Linotype"/>
          <w:b/>
          <w:bCs/>
          <w:sz w:val="18"/>
          <w:szCs w:val="18"/>
        </w:rPr>
        <w:t>2013</w:t>
      </w:r>
      <w:r>
        <w:rPr>
          <w:rFonts w:ascii="Palatino Linotype" w:eastAsia="Times New Roman" w:hAnsi="Palatino Linotype"/>
          <w:bCs/>
          <w:sz w:val="18"/>
          <w:szCs w:val="18"/>
        </w:rPr>
        <w:t xml:space="preserve">, </w:t>
      </w:r>
      <w:r>
        <w:rPr>
          <w:rFonts w:ascii="Palatino Linotype" w:eastAsia="Times New Roman" w:hAnsi="Palatino Linotype"/>
          <w:bCs/>
          <w:i/>
          <w:sz w:val="18"/>
          <w:szCs w:val="18"/>
        </w:rPr>
        <w:t>180</w:t>
      </w:r>
      <w:r>
        <w:rPr>
          <w:rFonts w:ascii="Palatino Linotype" w:eastAsia="Times New Roman" w:hAnsi="Palatino Linotype"/>
          <w:bCs/>
          <w:sz w:val="18"/>
          <w:szCs w:val="18"/>
        </w:rPr>
        <w:t>, 23–39</w:t>
      </w:r>
      <w:r w:rsidRPr="006D3001">
        <w:rPr>
          <w:rFonts w:ascii="Palatino Linotype" w:eastAsia="Times New Roman" w:hAnsi="Palatino Linotype"/>
          <w:sz w:val="18"/>
          <w:szCs w:val="18"/>
        </w:rPr>
        <w:t xml:space="preserve">, </w:t>
      </w:r>
      <w:r>
        <w:rPr>
          <w:rFonts w:ascii="Palatino Linotype" w:eastAsia="Times New Roman" w:hAnsi="Palatino Linotype"/>
          <w:sz w:val="18"/>
          <w:szCs w:val="18"/>
        </w:rPr>
        <w:t>doi:</w:t>
      </w:r>
      <w:r w:rsidRPr="006D3001">
        <w:rPr>
          <w:rFonts w:ascii="Palatino Linotype" w:eastAsia="Times New Roman" w:hAnsi="Palatino Linotype"/>
          <w:sz w:val="18"/>
          <w:szCs w:val="18"/>
        </w:rPr>
        <w:t>10.1007/s10704-012-9793-0.</w:t>
      </w:r>
    </w:p>
    <w:sectPr w:rsidR="00A11CF6" w:rsidRPr="00D54A4C" w:rsidSect="000676A0">
      <w:headerReference w:type="even" r:id="rId17"/>
      <w:headerReference w:type="default" r:id="rId18"/>
      <w:footerReference w:type="default" r:id="rId19"/>
      <w:headerReference w:type="first" r:id="rId20"/>
      <w:footerReference w:type="first" r:id="rId21"/>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37ED0" w14:textId="77777777" w:rsidR="00B406C8" w:rsidRDefault="00B406C8">
      <w:pPr>
        <w:spacing w:line="240" w:lineRule="auto"/>
      </w:pPr>
      <w:r>
        <w:separator/>
      </w:r>
    </w:p>
  </w:endnote>
  <w:endnote w:type="continuationSeparator" w:id="0">
    <w:p w14:paraId="2CDD34EA" w14:textId="77777777" w:rsidR="00B406C8" w:rsidRDefault="00B406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EE95" w14:textId="77777777" w:rsidR="0017359C" w:rsidRPr="00EE5642" w:rsidRDefault="0017359C" w:rsidP="00975B8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EF49A" w14:textId="77777777" w:rsidR="0017359C" w:rsidRDefault="0017359C" w:rsidP="00B3589F">
    <w:pPr>
      <w:pStyle w:val="MDPIfooterfirstpage"/>
      <w:pBdr>
        <w:top w:val="single" w:sz="4" w:space="0" w:color="000000"/>
      </w:pBdr>
      <w:adjustRightInd w:val="0"/>
      <w:snapToGrid w:val="0"/>
      <w:spacing w:before="480" w:line="100" w:lineRule="exact"/>
      <w:rPr>
        <w:i/>
      </w:rPr>
    </w:pPr>
  </w:p>
  <w:p w14:paraId="310A89B1" w14:textId="77777777" w:rsidR="0017359C" w:rsidRPr="008B308E" w:rsidRDefault="0017359C" w:rsidP="001C3497">
    <w:pPr>
      <w:pStyle w:val="MDPIfooterfirstpage"/>
      <w:tabs>
        <w:tab w:val="clear" w:pos="8845"/>
        <w:tab w:val="right" w:pos="10466"/>
      </w:tabs>
      <w:spacing w:line="240" w:lineRule="auto"/>
      <w:jc w:val="both"/>
      <w:rPr>
        <w:lang w:val="fr-CH"/>
      </w:rPr>
    </w:pPr>
    <w:r w:rsidRPr="004C57C3">
      <w:rPr>
        <w:i/>
      </w:rPr>
      <w:t>Materials</w:t>
    </w:r>
    <w:r>
      <w:rPr>
        <w:i/>
      </w:rPr>
      <w:t xml:space="preserve"> </w:t>
    </w:r>
    <w:r w:rsidRPr="00B56880">
      <w:rPr>
        <w:b/>
      </w:rPr>
      <w:t>2021</w:t>
    </w:r>
    <w:r w:rsidRPr="00442467">
      <w:t xml:space="preserve">, </w:t>
    </w:r>
    <w:r w:rsidRPr="00B56880">
      <w:rPr>
        <w:i/>
      </w:rPr>
      <w:t>14</w:t>
    </w:r>
    <w:r w:rsidRPr="00442467">
      <w:t xml:space="preserve">, </w:t>
    </w:r>
    <w:r>
      <w:t>x. https://doi.org/10.3390/xxxxx</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48A5B" w14:textId="77777777" w:rsidR="00B406C8" w:rsidRDefault="00B406C8">
      <w:pPr>
        <w:spacing w:line="240" w:lineRule="auto"/>
      </w:pPr>
      <w:r>
        <w:separator/>
      </w:r>
    </w:p>
  </w:footnote>
  <w:footnote w:type="continuationSeparator" w:id="0">
    <w:p w14:paraId="7D5449A9" w14:textId="77777777" w:rsidR="00B406C8" w:rsidRDefault="00B406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3985" w14:textId="77777777" w:rsidR="0017359C" w:rsidRDefault="0017359C" w:rsidP="00975B8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9DCA" w14:textId="77777777" w:rsidR="0017359C" w:rsidRDefault="0017359C" w:rsidP="001C3497">
    <w:pPr>
      <w:tabs>
        <w:tab w:val="right" w:pos="10466"/>
      </w:tabs>
      <w:adjustRightInd w:val="0"/>
      <w:snapToGrid w:val="0"/>
      <w:spacing w:line="240" w:lineRule="auto"/>
      <w:rPr>
        <w:sz w:val="16"/>
      </w:rPr>
    </w:pPr>
    <w:r>
      <w:rPr>
        <w:i/>
        <w:sz w:val="16"/>
      </w:rPr>
      <w:t xml:space="preserve">Materials </w:t>
    </w:r>
    <w:r w:rsidRPr="00CF5230">
      <w:rPr>
        <w:b/>
        <w:sz w:val="16"/>
      </w:rPr>
      <w:t>2021</w:t>
    </w:r>
    <w:r w:rsidRPr="00442467">
      <w:rPr>
        <w:sz w:val="16"/>
      </w:rPr>
      <w:t xml:space="preserve">, </w:t>
    </w:r>
    <w:r w:rsidRPr="00CF5230">
      <w:rPr>
        <w:i/>
        <w:sz w:val="16"/>
      </w:rPr>
      <w:t>14</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2E330A1A" w14:textId="77777777" w:rsidR="0017359C" w:rsidRPr="00636F25" w:rsidRDefault="0017359C" w:rsidP="00B3589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17359C" w:rsidRPr="001C3497" w14:paraId="530F6BC0" w14:textId="77777777" w:rsidTr="001C3497">
      <w:trPr>
        <w:trHeight w:val="686"/>
      </w:trPr>
      <w:tc>
        <w:tcPr>
          <w:tcW w:w="3679" w:type="dxa"/>
          <w:shd w:val="clear" w:color="auto" w:fill="auto"/>
          <w:vAlign w:val="center"/>
        </w:tcPr>
        <w:p w14:paraId="0057C1C6" w14:textId="77777777" w:rsidR="0017359C" w:rsidRPr="000802ED" w:rsidRDefault="0017359C" w:rsidP="001C3497">
          <w:pPr>
            <w:pStyle w:val="Header"/>
            <w:pBdr>
              <w:bottom w:val="none" w:sz="0" w:space="0" w:color="auto"/>
            </w:pBdr>
            <w:jc w:val="left"/>
            <w:rPr>
              <w:rFonts w:eastAsia="DengXian"/>
              <w:b/>
              <w:bCs/>
            </w:rPr>
          </w:pPr>
          <w:r w:rsidRPr="000802ED">
            <w:rPr>
              <w:rFonts w:eastAsia="DengXian"/>
              <w:b/>
              <w:bCs/>
            </w:rPr>
            <w:drawing>
              <wp:inline distT="0" distB="0" distL="0" distR="0" wp14:anchorId="3C0D5DF6" wp14:editId="67DA8347">
                <wp:extent cx="1628140" cy="429260"/>
                <wp:effectExtent l="0" t="0" r="0" b="0"/>
                <wp:docPr id="1"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41B16747" w14:textId="77777777" w:rsidR="0017359C" w:rsidRPr="000802ED" w:rsidRDefault="0017359C" w:rsidP="001C3497">
          <w:pPr>
            <w:pStyle w:val="Header"/>
            <w:pBdr>
              <w:bottom w:val="none" w:sz="0" w:space="0" w:color="auto"/>
            </w:pBdr>
            <w:rPr>
              <w:rFonts w:eastAsia="DengXian"/>
              <w:b/>
              <w:bCs/>
            </w:rPr>
          </w:pPr>
        </w:p>
      </w:tc>
      <w:tc>
        <w:tcPr>
          <w:tcW w:w="2273" w:type="dxa"/>
          <w:shd w:val="clear" w:color="auto" w:fill="auto"/>
          <w:vAlign w:val="center"/>
        </w:tcPr>
        <w:p w14:paraId="4DD3D7ED" w14:textId="77777777" w:rsidR="0017359C" w:rsidRPr="000802ED" w:rsidRDefault="0017359C" w:rsidP="001C3497">
          <w:pPr>
            <w:pStyle w:val="Header"/>
            <w:pBdr>
              <w:bottom w:val="none" w:sz="0" w:space="0" w:color="auto"/>
            </w:pBdr>
            <w:jc w:val="right"/>
            <w:rPr>
              <w:rFonts w:eastAsia="DengXian"/>
              <w:b/>
              <w:bCs/>
            </w:rPr>
          </w:pPr>
          <w:r w:rsidRPr="000802ED">
            <w:rPr>
              <w:rFonts w:eastAsia="DengXian"/>
              <w:b/>
              <w:bCs/>
            </w:rPr>
            <w:drawing>
              <wp:inline distT="0" distB="0" distL="0" distR="0" wp14:anchorId="44EB1DA0" wp14:editId="0ADC4D02">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11A577A0" w14:textId="77777777" w:rsidR="0017359C" w:rsidRPr="00586845" w:rsidRDefault="0017359C" w:rsidP="00B3589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E1D10"/>
    <w:multiLevelType w:val="multilevel"/>
    <w:tmpl w:val="4EA207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7D6B45"/>
    <w:multiLevelType w:val="multilevel"/>
    <w:tmpl w:val="0DCC951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283E6A"/>
    <w:multiLevelType w:val="multilevel"/>
    <w:tmpl w:val="78A8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85837B2"/>
    <w:multiLevelType w:val="multilevel"/>
    <w:tmpl w:val="1F2C40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EA1AEB"/>
    <w:multiLevelType w:val="hybridMultilevel"/>
    <w:tmpl w:val="71C2A21E"/>
    <w:lvl w:ilvl="0" w:tplc="E9EC84E2">
      <w:start w:val="1"/>
      <w:numFmt w:val="bullet"/>
      <w:lvlText w:val=""/>
      <w:lvlJc w:val="left"/>
      <w:pPr>
        <w:ind w:left="3753" w:hanging="360"/>
      </w:pPr>
      <w:rPr>
        <w:rFonts w:ascii="Symbol" w:hAnsi="Symbol" w:hint="default"/>
        <w:color w:val="auto"/>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11" w15:restartNumberingAfterBreak="0">
    <w:nsid w:val="485233B2"/>
    <w:multiLevelType w:val="multilevel"/>
    <w:tmpl w:val="D572FF72"/>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8161BB"/>
    <w:multiLevelType w:val="multilevel"/>
    <w:tmpl w:val="C6C64B62"/>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5" w15:restartNumberingAfterBreak="0">
    <w:nsid w:val="6CE13BA8"/>
    <w:multiLevelType w:val="multilevel"/>
    <w:tmpl w:val="6024ABB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71EB14D8"/>
    <w:multiLevelType w:val="multilevel"/>
    <w:tmpl w:val="1F2C406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2C828E8"/>
    <w:multiLevelType w:val="multilevel"/>
    <w:tmpl w:val="DEFAB916"/>
    <w:lvl w:ilvl="0">
      <w:start w:val="1"/>
      <w:numFmt w:val="decimal"/>
      <w:suff w:val="space"/>
      <w:lvlText w:val="%1."/>
      <w:lvlJc w:val="left"/>
      <w:pPr>
        <w:ind w:left="360" w:hanging="360"/>
      </w:pPr>
      <w:rPr>
        <w:rFonts w:hint="default"/>
      </w:rPr>
    </w:lvl>
    <w:lvl w:ilvl="1">
      <w:start w:val="1"/>
      <w:numFmt w:val="decimal"/>
      <w:suff w:val="space"/>
      <w:lvlText w:val="%1.%2."/>
      <w:lvlJc w:val="left"/>
      <w:pPr>
        <w:ind w:left="648" w:hanging="648"/>
      </w:pPr>
      <w:rPr>
        <w:rFonts w:hint="default"/>
      </w:rPr>
    </w:lvl>
    <w:lvl w:ilvl="2">
      <w:start w:val="1"/>
      <w:numFmt w:val="decimal"/>
      <w:suff w:val="space"/>
      <w:lvlText w:val="%1.%2.%3."/>
      <w:lvlJc w:val="left"/>
      <w:pPr>
        <w:ind w:left="936" w:hanging="936"/>
      </w:pPr>
      <w:rPr>
        <w:rFonts w:hint="default"/>
        <w:b w:val="0"/>
        <w:bCs w:val="0"/>
      </w:rPr>
    </w:lvl>
    <w:lvl w:ilvl="3">
      <w:start w:val="1"/>
      <w:numFmt w:val="decimal"/>
      <w:suff w:val="space"/>
      <w:lvlText w:val="%1.%2.%3.%4."/>
      <w:lvlJc w:val="left"/>
      <w:pPr>
        <w:ind w:left="1224" w:hanging="1224"/>
      </w:pPr>
      <w:rPr>
        <w:rFonts w:hint="default"/>
        <w:b w:val="0"/>
        <w:bCs w:val="0"/>
      </w:rPr>
    </w:lvl>
    <w:lvl w:ilvl="4">
      <w:start w:val="1"/>
      <w:numFmt w:val="decimal"/>
      <w:suff w:val="space"/>
      <w:lvlText w:val="%1.%2.%3.%4.%5."/>
      <w:lvlJc w:val="left"/>
      <w:pPr>
        <w:ind w:left="1656" w:hanging="165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DF21286"/>
    <w:multiLevelType w:val="hybridMultilevel"/>
    <w:tmpl w:val="B3A2C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4"/>
  </w:num>
  <w:num w:numId="7">
    <w:abstractNumId w:val="3"/>
  </w:num>
  <w:num w:numId="8">
    <w:abstractNumId w:val="14"/>
  </w:num>
  <w:num w:numId="9">
    <w:abstractNumId w:val="3"/>
  </w:num>
  <w:num w:numId="10">
    <w:abstractNumId w:val="14"/>
  </w:num>
  <w:num w:numId="11">
    <w:abstractNumId w:val="3"/>
  </w:num>
  <w:num w:numId="12">
    <w:abstractNumId w:val="16"/>
  </w:num>
  <w:num w:numId="13">
    <w:abstractNumId w:val="14"/>
  </w:num>
  <w:num w:numId="14">
    <w:abstractNumId w:val="3"/>
  </w:num>
  <w:num w:numId="15">
    <w:abstractNumId w:val="0"/>
  </w:num>
  <w:num w:numId="16">
    <w:abstractNumId w:val="13"/>
  </w:num>
  <w:num w:numId="17">
    <w:abstractNumId w:val="11"/>
  </w:num>
  <w:num w:numId="18">
    <w:abstractNumId w:val="1"/>
  </w:num>
  <w:num w:numId="19">
    <w:abstractNumId w:val="18"/>
  </w:num>
  <w:num w:numId="20">
    <w:abstractNumId w:val="2"/>
  </w:num>
  <w:num w:numId="21">
    <w:abstractNumId w:val="12"/>
  </w:num>
  <w:num w:numId="22">
    <w:abstractNumId w:val="9"/>
  </w:num>
  <w:num w:numId="23">
    <w:abstractNumId w:val="15"/>
  </w:num>
  <w:num w:numId="24">
    <w:abstractNumId w:val="17"/>
  </w:num>
  <w:num w:numId="25">
    <w:abstractNumId w:val="7"/>
  </w:num>
  <w:num w:numId="26">
    <w:abstractNumId w:val="10"/>
  </w:num>
  <w:num w:numId="27">
    <w:abstractNumId w:val="14"/>
  </w:num>
  <w:num w:numId="28">
    <w:abstractNumId w:val="3"/>
  </w:num>
  <w:num w:numId="29">
    <w:abstractNumId w:val="13"/>
  </w:num>
  <w:num w:numId="30">
    <w:abstractNumId w:val="0"/>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ese, Allison Michelle">
    <w15:presenceInfo w15:providerId="None" w15:userId="Beese, Allison Michel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B12"/>
    <w:rsid w:val="00012208"/>
    <w:rsid w:val="00026DCC"/>
    <w:rsid w:val="00036C6C"/>
    <w:rsid w:val="00041F31"/>
    <w:rsid w:val="00047D86"/>
    <w:rsid w:val="00061BB2"/>
    <w:rsid w:val="00065349"/>
    <w:rsid w:val="000676A0"/>
    <w:rsid w:val="000802ED"/>
    <w:rsid w:val="000B2395"/>
    <w:rsid w:val="000B5E01"/>
    <w:rsid w:val="000C3071"/>
    <w:rsid w:val="000F124F"/>
    <w:rsid w:val="000F5859"/>
    <w:rsid w:val="00112A02"/>
    <w:rsid w:val="00113C77"/>
    <w:rsid w:val="001162B2"/>
    <w:rsid w:val="00127588"/>
    <w:rsid w:val="00131B3F"/>
    <w:rsid w:val="001358EC"/>
    <w:rsid w:val="00170DE5"/>
    <w:rsid w:val="001723E4"/>
    <w:rsid w:val="0017359C"/>
    <w:rsid w:val="0018591D"/>
    <w:rsid w:val="001A2DAD"/>
    <w:rsid w:val="001B3DF1"/>
    <w:rsid w:val="001C0F36"/>
    <w:rsid w:val="001C1C66"/>
    <w:rsid w:val="001C3497"/>
    <w:rsid w:val="001E107B"/>
    <w:rsid w:val="001E2AEB"/>
    <w:rsid w:val="001E6FAA"/>
    <w:rsid w:val="001F3743"/>
    <w:rsid w:val="001F5DE1"/>
    <w:rsid w:val="002167C7"/>
    <w:rsid w:val="002220A2"/>
    <w:rsid w:val="00226317"/>
    <w:rsid w:val="002554D4"/>
    <w:rsid w:val="00257B12"/>
    <w:rsid w:val="00257B5A"/>
    <w:rsid w:val="00260368"/>
    <w:rsid w:val="00293879"/>
    <w:rsid w:val="002B3650"/>
    <w:rsid w:val="002C6155"/>
    <w:rsid w:val="002D3263"/>
    <w:rsid w:val="002F1C37"/>
    <w:rsid w:val="002F5CF2"/>
    <w:rsid w:val="0030685B"/>
    <w:rsid w:val="00326141"/>
    <w:rsid w:val="00371D15"/>
    <w:rsid w:val="00383D7F"/>
    <w:rsid w:val="00391C21"/>
    <w:rsid w:val="003A1793"/>
    <w:rsid w:val="003B0FFA"/>
    <w:rsid w:val="003B52D1"/>
    <w:rsid w:val="003C7549"/>
    <w:rsid w:val="003E7336"/>
    <w:rsid w:val="00401D30"/>
    <w:rsid w:val="00430009"/>
    <w:rsid w:val="00442467"/>
    <w:rsid w:val="004551A1"/>
    <w:rsid w:val="00474483"/>
    <w:rsid w:val="004759CB"/>
    <w:rsid w:val="004903F6"/>
    <w:rsid w:val="00503D54"/>
    <w:rsid w:val="005175E0"/>
    <w:rsid w:val="005306F6"/>
    <w:rsid w:val="00532966"/>
    <w:rsid w:val="00547F3D"/>
    <w:rsid w:val="005527B4"/>
    <w:rsid w:val="00564933"/>
    <w:rsid w:val="00571190"/>
    <w:rsid w:val="00586845"/>
    <w:rsid w:val="005A2621"/>
    <w:rsid w:val="005C7335"/>
    <w:rsid w:val="005C75C4"/>
    <w:rsid w:val="005D00AC"/>
    <w:rsid w:val="005E4C33"/>
    <w:rsid w:val="00610001"/>
    <w:rsid w:val="006101AB"/>
    <w:rsid w:val="006133CE"/>
    <w:rsid w:val="00615347"/>
    <w:rsid w:val="00615BC7"/>
    <w:rsid w:val="006369E9"/>
    <w:rsid w:val="00655E7C"/>
    <w:rsid w:val="00656518"/>
    <w:rsid w:val="0066017A"/>
    <w:rsid w:val="00683D05"/>
    <w:rsid w:val="00690745"/>
    <w:rsid w:val="00692393"/>
    <w:rsid w:val="006A7653"/>
    <w:rsid w:val="006C3C9D"/>
    <w:rsid w:val="006C3CAA"/>
    <w:rsid w:val="006C6493"/>
    <w:rsid w:val="006E4318"/>
    <w:rsid w:val="006F438F"/>
    <w:rsid w:val="007105D6"/>
    <w:rsid w:val="00723478"/>
    <w:rsid w:val="00732140"/>
    <w:rsid w:val="00741743"/>
    <w:rsid w:val="007418BF"/>
    <w:rsid w:val="00750DBC"/>
    <w:rsid w:val="00761309"/>
    <w:rsid w:val="00780046"/>
    <w:rsid w:val="00794EC3"/>
    <w:rsid w:val="007A2690"/>
    <w:rsid w:val="007A4F3C"/>
    <w:rsid w:val="007B02E2"/>
    <w:rsid w:val="007D5EA0"/>
    <w:rsid w:val="007E6286"/>
    <w:rsid w:val="00803444"/>
    <w:rsid w:val="00804F18"/>
    <w:rsid w:val="00812FAE"/>
    <w:rsid w:val="00825910"/>
    <w:rsid w:val="00826B73"/>
    <w:rsid w:val="00831FA2"/>
    <w:rsid w:val="00832398"/>
    <w:rsid w:val="00832912"/>
    <w:rsid w:val="00853077"/>
    <w:rsid w:val="0085365F"/>
    <w:rsid w:val="00853A88"/>
    <w:rsid w:val="00884EEA"/>
    <w:rsid w:val="008A2009"/>
    <w:rsid w:val="008A2D8E"/>
    <w:rsid w:val="008A669C"/>
    <w:rsid w:val="008C2AC6"/>
    <w:rsid w:val="008E1BBD"/>
    <w:rsid w:val="0092286C"/>
    <w:rsid w:val="009500BB"/>
    <w:rsid w:val="009725CB"/>
    <w:rsid w:val="00975B88"/>
    <w:rsid w:val="0098390D"/>
    <w:rsid w:val="0099140B"/>
    <w:rsid w:val="0099195D"/>
    <w:rsid w:val="009A094E"/>
    <w:rsid w:val="009A5222"/>
    <w:rsid w:val="009B7AFD"/>
    <w:rsid w:val="009E0A65"/>
    <w:rsid w:val="009F20C1"/>
    <w:rsid w:val="009F29D0"/>
    <w:rsid w:val="009F7077"/>
    <w:rsid w:val="009F70E6"/>
    <w:rsid w:val="00A010C5"/>
    <w:rsid w:val="00A05AA8"/>
    <w:rsid w:val="00A11CF6"/>
    <w:rsid w:val="00A14E24"/>
    <w:rsid w:val="00A22ECC"/>
    <w:rsid w:val="00A26316"/>
    <w:rsid w:val="00A51DD4"/>
    <w:rsid w:val="00A54C80"/>
    <w:rsid w:val="00A6390B"/>
    <w:rsid w:val="00A701D0"/>
    <w:rsid w:val="00A9094A"/>
    <w:rsid w:val="00AC4559"/>
    <w:rsid w:val="00AF666A"/>
    <w:rsid w:val="00B17DC3"/>
    <w:rsid w:val="00B23FAB"/>
    <w:rsid w:val="00B27FC2"/>
    <w:rsid w:val="00B3589F"/>
    <w:rsid w:val="00B406C8"/>
    <w:rsid w:val="00B42C32"/>
    <w:rsid w:val="00B548E2"/>
    <w:rsid w:val="00B5610A"/>
    <w:rsid w:val="00B56880"/>
    <w:rsid w:val="00B7143C"/>
    <w:rsid w:val="00B856A5"/>
    <w:rsid w:val="00B971E7"/>
    <w:rsid w:val="00BD22B2"/>
    <w:rsid w:val="00BE5097"/>
    <w:rsid w:val="00C04F83"/>
    <w:rsid w:val="00C05BA5"/>
    <w:rsid w:val="00C31539"/>
    <w:rsid w:val="00C3799E"/>
    <w:rsid w:val="00C5103B"/>
    <w:rsid w:val="00C570DE"/>
    <w:rsid w:val="00C63A02"/>
    <w:rsid w:val="00CE6ED7"/>
    <w:rsid w:val="00CF5230"/>
    <w:rsid w:val="00D06D1C"/>
    <w:rsid w:val="00D0724A"/>
    <w:rsid w:val="00D12BE5"/>
    <w:rsid w:val="00D179F1"/>
    <w:rsid w:val="00D46BCE"/>
    <w:rsid w:val="00D54A4C"/>
    <w:rsid w:val="00D75011"/>
    <w:rsid w:val="00D87C9D"/>
    <w:rsid w:val="00D91907"/>
    <w:rsid w:val="00D91A3B"/>
    <w:rsid w:val="00DA3A8B"/>
    <w:rsid w:val="00DA5A24"/>
    <w:rsid w:val="00DA6C80"/>
    <w:rsid w:val="00DC37F2"/>
    <w:rsid w:val="00DE0BDE"/>
    <w:rsid w:val="00DE3510"/>
    <w:rsid w:val="00DE4698"/>
    <w:rsid w:val="00E10552"/>
    <w:rsid w:val="00E17D10"/>
    <w:rsid w:val="00E211DD"/>
    <w:rsid w:val="00E3272C"/>
    <w:rsid w:val="00E45A72"/>
    <w:rsid w:val="00E475CE"/>
    <w:rsid w:val="00E52996"/>
    <w:rsid w:val="00E605D4"/>
    <w:rsid w:val="00E617BD"/>
    <w:rsid w:val="00E94043"/>
    <w:rsid w:val="00EA3206"/>
    <w:rsid w:val="00EA43E2"/>
    <w:rsid w:val="00EB48D3"/>
    <w:rsid w:val="00EC2C20"/>
    <w:rsid w:val="00EC333C"/>
    <w:rsid w:val="00F22721"/>
    <w:rsid w:val="00F25CA1"/>
    <w:rsid w:val="00F324A8"/>
    <w:rsid w:val="00F42E7B"/>
    <w:rsid w:val="00F613EC"/>
    <w:rsid w:val="00F746BC"/>
    <w:rsid w:val="00F77B30"/>
    <w:rsid w:val="00F847FC"/>
    <w:rsid w:val="00F848A6"/>
    <w:rsid w:val="00F85C25"/>
    <w:rsid w:val="00F9400C"/>
    <w:rsid w:val="00FB22E5"/>
    <w:rsid w:val="00FB4FBA"/>
    <w:rsid w:val="00FB7BB0"/>
    <w:rsid w:val="00FD2E4E"/>
    <w:rsid w:val="00FF1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82FCF3"/>
  <w15:chartTrackingRefBased/>
  <w15:docId w15:val="{8047FA82-DF15-4722-BA09-B5ADC1A70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CF6"/>
    <w:pPr>
      <w:spacing w:line="260" w:lineRule="atLeast"/>
      <w:jc w:val="both"/>
    </w:pPr>
    <w:rPr>
      <w:rFonts w:ascii="Palatino Linotype" w:hAnsi="Palatino Linotype"/>
      <w:noProof/>
      <w:color w:val="000000"/>
    </w:rPr>
  </w:style>
  <w:style w:type="paragraph" w:styleId="Heading1">
    <w:name w:val="heading 1"/>
    <w:basedOn w:val="Normal"/>
    <w:next w:val="Normal"/>
    <w:link w:val="Heading1Char"/>
    <w:autoRedefine/>
    <w:uiPriority w:val="9"/>
    <w:qFormat/>
    <w:rsid w:val="00257B12"/>
    <w:pPr>
      <w:keepNext/>
      <w:keepLines/>
      <w:numPr>
        <w:numId w:val="17"/>
      </w:numPr>
      <w:spacing w:before="240" w:line="480" w:lineRule="auto"/>
      <w:jc w:val="left"/>
      <w:outlineLvl w:val="0"/>
    </w:pPr>
    <w:rPr>
      <w:rFonts w:ascii="Times New Roman" w:eastAsia="DengXian Light" w:hAnsi="Times New Roman"/>
      <w:b/>
      <w:noProof w:val="0"/>
      <w:color w:val="auto"/>
      <w:sz w:val="28"/>
      <w:szCs w:val="32"/>
      <w:lang w:eastAsia="en-US"/>
    </w:rPr>
  </w:style>
  <w:style w:type="paragraph" w:styleId="Heading2">
    <w:name w:val="heading 2"/>
    <w:basedOn w:val="Normal"/>
    <w:next w:val="Normal"/>
    <w:link w:val="Heading2Char"/>
    <w:autoRedefine/>
    <w:uiPriority w:val="9"/>
    <w:semiHidden/>
    <w:unhideWhenUsed/>
    <w:qFormat/>
    <w:rsid w:val="00257B12"/>
    <w:pPr>
      <w:keepNext/>
      <w:keepLines/>
      <w:numPr>
        <w:ilvl w:val="1"/>
        <w:numId w:val="17"/>
      </w:numPr>
      <w:spacing w:before="40" w:line="480" w:lineRule="auto"/>
      <w:jc w:val="left"/>
      <w:outlineLvl w:val="1"/>
    </w:pPr>
    <w:rPr>
      <w:rFonts w:ascii="Times New Roman" w:eastAsia="DengXian Light" w:hAnsi="Times New Roman"/>
      <w:b/>
      <w:noProof w:val="0"/>
      <w:color w:val="auto"/>
      <w:sz w:val="28"/>
      <w:szCs w:val="26"/>
      <w:lang w:eastAsia="en-US"/>
    </w:rPr>
  </w:style>
  <w:style w:type="paragraph" w:styleId="Heading3">
    <w:name w:val="heading 3"/>
    <w:basedOn w:val="Normal"/>
    <w:next w:val="Normal"/>
    <w:link w:val="Heading3Char"/>
    <w:autoRedefine/>
    <w:uiPriority w:val="9"/>
    <w:semiHidden/>
    <w:unhideWhenUsed/>
    <w:qFormat/>
    <w:rsid w:val="00257B12"/>
    <w:pPr>
      <w:keepNext/>
      <w:keepLines/>
      <w:numPr>
        <w:ilvl w:val="2"/>
        <w:numId w:val="17"/>
      </w:numPr>
      <w:spacing w:before="40" w:line="480" w:lineRule="auto"/>
      <w:jc w:val="left"/>
      <w:outlineLvl w:val="2"/>
    </w:pPr>
    <w:rPr>
      <w:rFonts w:ascii="Times New Roman" w:eastAsia="DengXian Light" w:hAnsi="Times New Roman"/>
      <w:b/>
      <w:noProof w:val="0"/>
      <w:color w:val="auto"/>
      <w:sz w:val="28"/>
      <w:szCs w:val="24"/>
      <w:lang w:eastAsia="en-US"/>
    </w:rPr>
  </w:style>
  <w:style w:type="paragraph" w:styleId="Heading4">
    <w:name w:val="heading 4"/>
    <w:basedOn w:val="Normal"/>
    <w:next w:val="Normal"/>
    <w:link w:val="Heading4Char"/>
    <w:autoRedefine/>
    <w:uiPriority w:val="9"/>
    <w:semiHidden/>
    <w:unhideWhenUsed/>
    <w:qFormat/>
    <w:rsid w:val="00257B12"/>
    <w:pPr>
      <w:keepNext/>
      <w:keepLines/>
      <w:numPr>
        <w:ilvl w:val="3"/>
        <w:numId w:val="18"/>
      </w:numPr>
      <w:spacing w:before="40" w:line="480" w:lineRule="auto"/>
      <w:ind w:left="864" w:hanging="864"/>
      <w:jc w:val="left"/>
      <w:outlineLvl w:val="3"/>
    </w:pPr>
    <w:rPr>
      <w:rFonts w:ascii="Times New Roman" w:eastAsia="DengXian Light" w:hAnsi="Times New Roman"/>
      <w:b/>
      <w:iCs/>
      <w:noProof w:val="0"/>
      <w:color w:val="auto"/>
      <w:sz w:val="28"/>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0676A0"/>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676A0"/>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676A0"/>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676A0"/>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676A0"/>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676A0"/>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676A0"/>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676A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11CF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11CF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11CF6"/>
    <w:rPr>
      <w:rFonts w:ascii="Palatino Linotype" w:hAnsi="Palatino Linotype"/>
      <w:noProof/>
      <w:color w:val="000000"/>
      <w:szCs w:val="18"/>
    </w:rPr>
  </w:style>
  <w:style w:type="paragraph" w:styleId="Header">
    <w:name w:val="header"/>
    <w:basedOn w:val="Normal"/>
    <w:link w:val="HeaderChar"/>
    <w:uiPriority w:val="99"/>
    <w:rsid w:val="00A11CF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11CF6"/>
    <w:rPr>
      <w:rFonts w:ascii="Palatino Linotype" w:hAnsi="Palatino Linotype"/>
      <w:noProof/>
      <w:color w:val="000000"/>
      <w:szCs w:val="18"/>
    </w:rPr>
  </w:style>
  <w:style w:type="paragraph" w:customStyle="1" w:styleId="MDPIheaderjournallogo">
    <w:name w:val="MDPI_header_journal_logo"/>
    <w:qFormat/>
    <w:rsid w:val="000676A0"/>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676A0"/>
    <w:pPr>
      <w:ind w:firstLine="0"/>
    </w:pPr>
  </w:style>
  <w:style w:type="paragraph" w:customStyle="1" w:styleId="MDPI31text">
    <w:name w:val="MDPI_3.1_text"/>
    <w:qFormat/>
    <w:rsid w:val="000676A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676A0"/>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0676A0"/>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676A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676A0"/>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676A0"/>
    <w:pPr>
      <w:numPr>
        <w:numId w:val="2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676A0"/>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676A0"/>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676A0"/>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676A0"/>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0676A0"/>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676A0"/>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676A0"/>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676A0"/>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0676A0"/>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676A0"/>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0676A0"/>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0676A0"/>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676A0"/>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676A0"/>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676A0"/>
    <w:pPr>
      <w:numPr>
        <w:numId w:val="3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11CF6"/>
    <w:rPr>
      <w:rFonts w:cs="Tahoma"/>
      <w:szCs w:val="18"/>
    </w:rPr>
  </w:style>
  <w:style w:type="character" w:customStyle="1" w:styleId="BalloonTextChar">
    <w:name w:val="Balloon Text Char"/>
    <w:link w:val="BalloonText"/>
    <w:uiPriority w:val="99"/>
    <w:rsid w:val="00A11CF6"/>
    <w:rPr>
      <w:rFonts w:ascii="Palatino Linotype" w:hAnsi="Palatino Linotype" w:cs="Tahoma"/>
      <w:noProof/>
      <w:color w:val="000000"/>
      <w:szCs w:val="18"/>
    </w:rPr>
  </w:style>
  <w:style w:type="character" w:styleId="LineNumber">
    <w:name w:val="line number"/>
    <w:uiPriority w:val="99"/>
    <w:rsid w:val="00D91907"/>
    <w:rPr>
      <w:rFonts w:ascii="Palatino Linotype" w:hAnsi="Palatino Linotype"/>
      <w:sz w:val="16"/>
    </w:rPr>
  </w:style>
  <w:style w:type="table" w:customStyle="1" w:styleId="MDPI41threelinetable">
    <w:name w:val="MDPI_4.1_three_line_table"/>
    <w:basedOn w:val="TableNormal"/>
    <w:uiPriority w:val="99"/>
    <w:rsid w:val="000676A0"/>
    <w:pPr>
      <w:adjustRightInd w:val="0"/>
      <w:snapToGrid w:val="0"/>
      <w:jc w:val="center"/>
    </w:pPr>
    <w:rPr>
      <w:rFonts w:ascii="Palatino Linotype" w:eastAsiaTheme="minorEastAsia"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11CF6"/>
    <w:rPr>
      <w:color w:val="0000FF"/>
      <w:u w:val="single"/>
    </w:rPr>
  </w:style>
  <w:style w:type="character" w:styleId="UnresolvedMention">
    <w:name w:val="Unresolved Mention"/>
    <w:uiPriority w:val="99"/>
    <w:semiHidden/>
    <w:unhideWhenUsed/>
    <w:rsid w:val="00474483"/>
    <w:rPr>
      <w:color w:val="605E5C"/>
      <w:shd w:val="clear" w:color="auto" w:fill="E1DFDD"/>
    </w:rPr>
  </w:style>
  <w:style w:type="table" w:styleId="PlainTable4">
    <w:name w:val="Plain Table 4"/>
    <w:basedOn w:val="TableNormal"/>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0676A0"/>
    <w:pPr>
      <w:adjustRightInd w:val="0"/>
      <w:snapToGrid w:val="0"/>
      <w:spacing w:line="240" w:lineRule="atLeast"/>
      <w:ind w:right="113"/>
    </w:pPr>
    <w:rPr>
      <w:rFonts w:ascii="Palatino Linotype" w:eastAsiaTheme="minorEastAsia" w:hAnsi="Palatino Linotype" w:cstheme="minorBidi"/>
      <w:sz w:val="14"/>
      <w:szCs w:val="22"/>
    </w:rPr>
  </w:style>
  <w:style w:type="paragraph" w:customStyle="1" w:styleId="MDPI62BackMatter">
    <w:name w:val="MDPI_6.2_BackMatter"/>
    <w:qFormat/>
    <w:rsid w:val="000676A0"/>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676A0"/>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0676A0"/>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676A0"/>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676A0"/>
    <w:pPr>
      <w:adjustRightInd w:val="0"/>
      <w:snapToGrid w:val="0"/>
      <w:spacing w:before="240" w:after="120" w:line="260" w:lineRule="atLeast"/>
      <w:jc w:val="center"/>
    </w:pPr>
    <w:rPr>
      <w:rFonts w:ascii="Palatino Linotype" w:eastAsiaTheme="minorEastAsia" w:hAnsi="Palatino Linotype" w:cstheme="minorBidi"/>
      <w:noProof/>
      <w:color w:val="000000"/>
      <w:sz w:val="18"/>
      <w:szCs w:val="22"/>
      <w:lang w:bidi="en-US"/>
    </w:rPr>
  </w:style>
  <w:style w:type="paragraph" w:customStyle="1" w:styleId="MDPI511onefigurecaption">
    <w:name w:val="MDPI_5.1.1_one_figure_caption"/>
    <w:qFormat/>
    <w:rsid w:val="000676A0"/>
    <w:pPr>
      <w:adjustRightInd w:val="0"/>
      <w:snapToGrid w:val="0"/>
      <w:spacing w:before="240" w:after="120" w:line="260" w:lineRule="atLeast"/>
      <w:jc w:val="center"/>
    </w:pPr>
    <w:rPr>
      <w:rFonts w:ascii="Palatino Linotype" w:eastAsiaTheme="minorEastAsia" w:hAnsi="Palatino Linotype"/>
      <w:noProof/>
      <w:color w:val="000000"/>
      <w:sz w:val="18"/>
      <w:lang w:bidi="en-US"/>
    </w:rPr>
  </w:style>
  <w:style w:type="paragraph" w:customStyle="1" w:styleId="MDPI72Copyright">
    <w:name w:val="MDPI_7.2_Copyright"/>
    <w:qFormat/>
    <w:rsid w:val="000676A0"/>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676A0"/>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676A0"/>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676A0"/>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0676A0"/>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676A0"/>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676A0"/>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0676A0"/>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0676A0"/>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676A0"/>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11CF6"/>
  </w:style>
  <w:style w:type="paragraph" w:styleId="Bibliography">
    <w:name w:val="Bibliography"/>
    <w:basedOn w:val="Normal"/>
    <w:next w:val="Normal"/>
    <w:uiPriority w:val="37"/>
    <w:semiHidden/>
    <w:unhideWhenUsed/>
    <w:rsid w:val="00A11CF6"/>
  </w:style>
  <w:style w:type="paragraph" w:styleId="BodyText">
    <w:name w:val="Body Text"/>
    <w:link w:val="BodyTextChar"/>
    <w:rsid w:val="00A11CF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11CF6"/>
    <w:rPr>
      <w:rFonts w:ascii="Palatino Linotype" w:hAnsi="Palatino Linotype"/>
      <w:color w:val="000000"/>
      <w:sz w:val="24"/>
      <w:lang w:eastAsia="de-DE"/>
    </w:rPr>
  </w:style>
  <w:style w:type="character" w:styleId="CommentReference">
    <w:name w:val="annotation reference"/>
    <w:uiPriority w:val="99"/>
    <w:rsid w:val="00A11CF6"/>
    <w:rPr>
      <w:sz w:val="21"/>
      <w:szCs w:val="21"/>
    </w:rPr>
  </w:style>
  <w:style w:type="paragraph" w:styleId="CommentText">
    <w:name w:val="annotation text"/>
    <w:basedOn w:val="Normal"/>
    <w:link w:val="CommentTextChar"/>
    <w:uiPriority w:val="99"/>
    <w:rsid w:val="00A11CF6"/>
  </w:style>
  <w:style w:type="character" w:customStyle="1" w:styleId="CommentTextChar">
    <w:name w:val="Comment Text Char"/>
    <w:link w:val="CommentText"/>
    <w:uiPriority w:val="99"/>
    <w:rsid w:val="00A11CF6"/>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A11CF6"/>
    <w:rPr>
      <w:b/>
      <w:bCs/>
    </w:rPr>
  </w:style>
  <w:style w:type="character" w:customStyle="1" w:styleId="CommentSubjectChar">
    <w:name w:val="Comment Subject Char"/>
    <w:link w:val="CommentSubject"/>
    <w:uiPriority w:val="99"/>
    <w:rsid w:val="00A11CF6"/>
    <w:rPr>
      <w:rFonts w:ascii="Palatino Linotype" w:hAnsi="Palatino Linotype"/>
      <w:b/>
      <w:bCs/>
      <w:noProof/>
      <w:color w:val="000000"/>
    </w:rPr>
  </w:style>
  <w:style w:type="character" w:styleId="EndnoteReference">
    <w:name w:val="endnote reference"/>
    <w:rsid w:val="00A11CF6"/>
    <w:rPr>
      <w:vertAlign w:val="superscript"/>
    </w:rPr>
  </w:style>
  <w:style w:type="paragraph" w:styleId="EndnoteText">
    <w:name w:val="endnote text"/>
    <w:basedOn w:val="Normal"/>
    <w:link w:val="EndnoteTextChar"/>
    <w:semiHidden/>
    <w:unhideWhenUsed/>
    <w:rsid w:val="00A11CF6"/>
    <w:pPr>
      <w:spacing w:line="240" w:lineRule="auto"/>
    </w:pPr>
  </w:style>
  <w:style w:type="character" w:customStyle="1" w:styleId="EndnoteTextChar">
    <w:name w:val="Endnote Text Char"/>
    <w:link w:val="EndnoteText"/>
    <w:semiHidden/>
    <w:rsid w:val="00A11CF6"/>
    <w:rPr>
      <w:rFonts w:ascii="Palatino Linotype" w:hAnsi="Palatino Linotype"/>
      <w:noProof/>
      <w:color w:val="000000"/>
    </w:rPr>
  </w:style>
  <w:style w:type="character" w:styleId="FollowedHyperlink">
    <w:name w:val="FollowedHyperlink"/>
    <w:rsid w:val="00A11CF6"/>
    <w:rPr>
      <w:color w:val="954F72"/>
      <w:u w:val="single"/>
    </w:rPr>
  </w:style>
  <w:style w:type="paragraph" w:styleId="FootnoteText">
    <w:name w:val="footnote text"/>
    <w:basedOn w:val="Normal"/>
    <w:link w:val="FootnoteTextChar"/>
    <w:semiHidden/>
    <w:unhideWhenUsed/>
    <w:rsid w:val="00A11CF6"/>
    <w:pPr>
      <w:spacing w:line="240" w:lineRule="auto"/>
    </w:pPr>
  </w:style>
  <w:style w:type="character" w:customStyle="1" w:styleId="FootnoteTextChar">
    <w:name w:val="Footnote Text Char"/>
    <w:link w:val="FootnoteText"/>
    <w:semiHidden/>
    <w:rsid w:val="00A11CF6"/>
    <w:rPr>
      <w:rFonts w:ascii="Palatino Linotype" w:hAnsi="Palatino Linotype"/>
      <w:noProof/>
      <w:color w:val="000000"/>
    </w:rPr>
  </w:style>
  <w:style w:type="paragraph" w:styleId="NormalWeb">
    <w:name w:val="Normal (Web)"/>
    <w:basedOn w:val="Normal"/>
    <w:uiPriority w:val="99"/>
    <w:rsid w:val="00A11CF6"/>
    <w:rPr>
      <w:szCs w:val="24"/>
    </w:rPr>
  </w:style>
  <w:style w:type="paragraph" w:customStyle="1" w:styleId="MsoFootnoteText0">
    <w:name w:val="MsoFootnoteText"/>
    <w:basedOn w:val="NormalWeb"/>
    <w:qFormat/>
    <w:rsid w:val="00A11CF6"/>
    <w:rPr>
      <w:rFonts w:ascii="Times New Roman" w:hAnsi="Times New Roman"/>
    </w:rPr>
  </w:style>
  <w:style w:type="character" w:styleId="PageNumber">
    <w:name w:val="page number"/>
    <w:rsid w:val="00A11CF6"/>
  </w:style>
  <w:style w:type="character" w:styleId="PlaceholderText">
    <w:name w:val="Placeholder Text"/>
    <w:uiPriority w:val="99"/>
    <w:semiHidden/>
    <w:rsid w:val="00A11CF6"/>
    <w:rPr>
      <w:color w:val="808080"/>
    </w:rPr>
  </w:style>
  <w:style w:type="paragraph" w:customStyle="1" w:styleId="MDPI71FootNotes">
    <w:name w:val="MDPI_7.1_FootNotes"/>
    <w:qFormat/>
    <w:rsid w:val="000676A0"/>
    <w:pPr>
      <w:numPr>
        <w:numId w:val="29"/>
      </w:numPr>
      <w:adjustRightInd w:val="0"/>
      <w:snapToGrid w:val="0"/>
      <w:spacing w:line="228" w:lineRule="auto"/>
      <w:jc w:val="both"/>
    </w:pPr>
    <w:rPr>
      <w:rFonts w:ascii="Palatino Linotype" w:eastAsiaTheme="minorEastAsia" w:hAnsi="Palatino Linotype"/>
      <w:noProof/>
      <w:color w:val="000000"/>
      <w:sz w:val="18"/>
    </w:rPr>
  </w:style>
  <w:style w:type="character" w:customStyle="1" w:styleId="Heading1Char">
    <w:name w:val="Heading 1 Char"/>
    <w:basedOn w:val="DefaultParagraphFont"/>
    <w:link w:val="Heading1"/>
    <w:uiPriority w:val="9"/>
    <w:rsid w:val="00257B12"/>
    <w:rPr>
      <w:rFonts w:ascii="Times New Roman" w:eastAsia="DengXian Light" w:hAnsi="Times New Roman"/>
      <w:b/>
      <w:sz w:val="28"/>
      <w:szCs w:val="32"/>
      <w:lang w:eastAsia="en-US"/>
    </w:rPr>
  </w:style>
  <w:style w:type="character" w:customStyle="1" w:styleId="Heading2Char">
    <w:name w:val="Heading 2 Char"/>
    <w:basedOn w:val="DefaultParagraphFont"/>
    <w:link w:val="Heading2"/>
    <w:uiPriority w:val="9"/>
    <w:semiHidden/>
    <w:rsid w:val="00257B12"/>
    <w:rPr>
      <w:rFonts w:ascii="Times New Roman" w:eastAsia="DengXian Light" w:hAnsi="Times New Roman"/>
      <w:b/>
      <w:sz w:val="28"/>
      <w:szCs w:val="26"/>
      <w:lang w:eastAsia="en-US"/>
    </w:rPr>
  </w:style>
  <w:style w:type="character" w:customStyle="1" w:styleId="Heading3Char">
    <w:name w:val="Heading 3 Char"/>
    <w:basedOn w:val="DefaultParagraphFont"/>
    <w:link w:val="Heading3"/>
    <w:uiPriority w:val="9"/>
    <w:semiHidden/>
    <w:rsid w:val="00257B12"/>
    <w:rPr>
      <w:rFonts w:ascii="Times New Roman" w:eastAsia="DengXian Light" w:hAnsi="Times New Roman"/>
      <w:b/>
      <w:sz w:val="28"/>
      <w:szCs w:val="24"/>
      <w:lang w:eastAsia="en-US"/>
    </w:rPr>
  </w:style>
  <w:style w:type="character" w:customStyle="1" w:styleId="Heading4Char">
    <w:name w:val="Heading 4 Char"/>
    <w:basedOn w:val="DefaultParagraphFont"/>
    <w:link w:val="Heading4"/>
    <w:uiPriority w:val="9"/>
    <w:semiHidden/>
    <w:rsid w:val="00257B12"/>
    <w:rPr>
      <w:rFonts w:ascii="Times New Roman" w:eastAsia="DengXian Light" w:hAnsi="Times New Roman"/>
      <w:b/>
      <w:iCs/>
      <w:sz w:val="28"/>
      <w:szCs w:val="22"/>
      <w:lang w:eastAsia="en-US"/>
    </w:rPr>
  </w:style>
  <w:style w:type="paragraph" w:styleId="Caption">
    <w:name w:val="caption"/>
    <w:basedOn w:val="Normal"/>
    <w:next w:val="Normal"/>
    <w:autoRedefine/>
    <w:uiPriority w:val="35"/>
    <w:unhideWhenUsed/>
    <w:qFormat/>
    <w:rsid w:val="00257B12"/>
    <w:pPr>
      <w:spacing w:after="200" w:line="240" w:lineRule="auto"/>
    </w:pPr>
    <w:rPr>
      <w:rFonts w:eastAsia="Calibri"/>
      <w:iCs/>
      <w:noProof w:val="0"/>
      <w:color w:val="auto"/>
      <w:szCs w:val="18"/>
      <w:lang w:eastAsia="en-US"/>
    </w:rPr>
  </w:style>
  <w:style w:type="paragraph" w:styleId="ListParagraph">
    <w:name w:val="List Paragraph"/>
    <w:basedOn w:val="Normal"/>
    <w:uiPriority w:val="34"/>
    <w:qFormat/>
    <w:rsid w:val="00257B12"/>
    <w:pPr>
      <w:spacing w:after="160" w:line="259" w:lineRule="auto"/>
      <w:ind w:left="720"/>
      <w:contextualSpacing/>
      <w:jc w:val="left"/>
    </w:pPr>
    <w:rPr>
      <w:rFonts w:ascii="Calibri" w:eastAsia="Calibri" w:hAnsi="Calibri"/>
      <w:noProof w:val="0"/>
      <w:color w:val="auto"/>
      <w:sz w:val="22"/>
      <w:szCs w:val="22"/>
      <w:lang w:eastAsia="en-US"/>
    </w:rPr>
  </w:style>
  <w:style w:type="paragraph" w:styleId="Revision">
    <w:name w:val="Revision"/>
    <w:hidden/>
    <w:uiPriority w:val="99"/>
    <w:semiHidden/>
    <w:rsid w:val="00257B12"/>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71666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3ds.com/products-services/simulia/"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materi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A1C9A-7C01-40B9-A7A8-D6F8324D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Template>
  <TotalTime>0</TotalTime>
  <Pages>16</Pages>
  <Words>20055</Words>
  <Characters>114317</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134104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Beese, Allison Michelle</cp:lastModifiedBy>
  <cp:revision>2</cp:revision>
  <cp:lastPrinted>2021-06-28T07:59:00Z</cp:lastPrinted>
  <dcterms:created xsi:type="dcterms:W3CDTF">2021-11-15T22:05:00Z</dcterms:created>
  <dcterms:modified xsi:type="dcterms:W3CDTF">2021-11-15T22:05:00Z</dcterms:modified>
</cp:coreProperties>
</file>